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3F10" w:rsidRPr="00194AA6" w:rsidRDefault="00193F10" w:rsidP="00194AA6">
      <w:pPr>
        <w:jc w:val="center"/>
        <w:rPr>
          <w:sz w:val="22"/>
          <w:szCs w:val="22"/>
        </w:rPr>
      </w:pPr>
    </w:p>
    <w:p w:rsidR="00193F10" w:rsidRDefault="00F53408" w:rsidP="00E22553">
      <w:pPr>
        <w:spacing w:after="720"/>
        <w:jc w:val="center"/>
      </w:pPr>
      <w:r>
        <w:rPr>
          <w:noProof/>
        </w:rPr>
        <w:drawing>
          <wp:inline distT="0" distB="0" distL="0" distR="0">
            <wp:extent cx="1714500" cy="1123950"/>
            <wp:effectExtent l="1905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srcRect/>
                    <a:stretch>
                      <a:fillRect/>
                    </a:stretch>
                  </pic:blipFill>
                  <pic:spPr bwMode="auto">
                    <a:xfrm>
                      <a:off x="0" y="0"/>
                      <a:ext cx="1714500" cy="1123950"/>
                    </a:xfrm>
                    <a:prstGeom prst="rect">
                      <a:avLst/>
                    </a:prstGeom>
                    <a:noFill/>
                    <a:ln w="9525">
                      <a:noFill/>
                      <a:miter lim="800000"/>
                      <a:headEnd/>
                      <a:tailEnd/>
                    </a:ln>
                  </pic:spPr>
                </pic:pic>
              </a:graphicData>
            </a:graphic>
          </wp:inline>
        </w:drawing>
      </w:r>
    </w:p>
    <w:p w:rsidR="00193F10" w:rsidRPr="00194AA6" w:rsidRDefault="00193F10" w:rsidP="00194AA6">
      <w:pPr>
        <w:pStyle w:val="Heading3"/>
        <w:rPr>
          <w:b/>
          <w:sz w:val="22"/>
          <w:szCs w:val="22"/>
        </w:rPr>
      </w:pPr>
      <w:r w:rsidRPr="00194AA6">
        <w:rPr>
          <w:b/>
          <w:sz w:val="22"/>
          <w:szCs w:val="22"/>
        </w:rPr>
        <w:t>TECHNICAL EVALUATION</w:t>
      </w:r>
    </w:p>
    <w:p w:rsidR="00193F10" w:rsidRPr="00194AA6" w:rsidRDefault="00193F10" w:rsidP="00194AA6">
      <w:pPr>
        <w:jc w:val="center"/>
        <w:rPr>
          <w:b/>
          <w:sz w:val="22"/>
          <w:szCs w:val="22"/>
        </w:rPr>
      </w:pPr>
      <w:r w:rsidRPr="00194AA6">
        <w:rPr>
          <w:b/>
          <w:sz w:val="22"/>
          <w:szCs w:val="22"/>
        </w:rPr>
        <w:t>&amp;</w:t>
      </w:r>
    </w:p>
    <w:p w:rsidR="00193F10" w:rsidRPr="00194AA6" w:rsidRDefault="00193F10" w:rsidP="00E22553">
      <w:pPr>
        <w:spacing w:after="720"/>
        <w:jc w:val="center"/>
        <w:rPr>
          <w:b/>
          <w:sz w:val="22"/>
          <w:szCs w:val="22"/>
        </w:rPr>
      </w:pPr>
      <w:r w:rsidRPr="00194AA6">
        <w:rPr>
          <w:b/>
          <w:sz w:val="22"/>
          <w:szCs w:val="22"/>
        </w:rPr>
        <w:t>PRELIMINARY DETERMINATION</w:t>
      </w:r>
    </w:p>
    <w:p w:rsidR="00194AA6" w:rsidRPr="00194AA6" w:rsidRDefault="00194AA6" w:rsidP="00194AA6">
      <w:pPr>
        <w:pStyle w:val="Heading4"/>
        <w:spacing w:after="120"/>
        <w:rPr>
          <w:bCs/>
          <w:szCs w:val="22"/>
        </w:rPr>
      </w:pPr>
      <w:r w:rsidRPr="00194AA6">
        <w:rPr>
          <w:bCs/>
          <w:szCs w:val="22"/>
        </w:rPr>
        <w:t>APPLICANT</w:t>
      </w:r>
    </w:p>
    <w:p w:rsidR="00194AA6" w:rsidRDefault="00F94821" w:rsidP="00194AA6">
      <w:pPr>
        <w:widowControl w:val="0"/>
        <w:jc w:val="center"/>
        <w:rPr>
          <w:sz w:val="22"/>
          <w:szCs w:val="22"/>
        </w:rPr>
      </w:pPr>
      <w:r>
        <w:rPr>
          <w:sz w:val="22"/>
          <w:szCs w:val="22"/>
        </w:rPr>
        <w:t>Tampa Electric Company</w:t>
      </w:r>
    </w:p>
    <w:p w:rsidR="00194AA6" w:rsidRPr="000E6707" w:rsidRDefault="00964F1C" w:rsidP="00194AA6">
      <w:pPr>
        <w:widowControl w:val="0"/>
        <w:jc w:val="center"/>
        <w:rPr>
          <w:sz w:val="22"/>
          <w:szCs w:val="22"/>
          <w:highlight w:val="yellow"/>
        </w:rPr>
      </w:pPr>
      <w:r>
        <w:rPr>
          <w:sz w:val="22"/>
          <w:szCs w:val="22"/>
        </w:rPr>
        <w:t>Post Office</w:t>
      </w:r>
      <w:r w:rsidR="00F94821">
        <w:rPr>
          <w:sz w:val="22"/>
          <w:szCs w:val="22"/>
        </w:rPr>
        <w:t xml:space="preserve"> Box 111</w:t>
      </w:r>
    </w:p>
    <w:p w:rsidR="00194AA6" w:rsidRPr="00746205" w:rsidRDefault="00F94821" w:rsidP="00E22553">
      <w:pPr>
        <w:widowControl w:val="0"/>
        <w:spacing w:after="360"/>
        <w:jc w:val="center"/>
        <w:rPr>
          <w:sz w:val="22"/>
          <w:szCs w:val="22"/>
        </w:rPr>
      </w:pPr>
      <w:r>
        <w:rPr>
          <w:sz w:val="22"/>
          <w:szCs w:val="22"/>
        </w:rPr>
        <w:t>Tampa, F</w:t>
      </w:r>
      <w:r w:rsidR="000360EB">
        <w:rPr>
          <w:sz w:val="22"/>
          <w:szCs w:val="22"/>
        </w:rPr>
        <w:t>lorida</w:t>
      </w:r>
      <w:r>
        <w:rPr>
          <w:sz w:val="22"/>
          <w:szCs w:val="22"/>
        </w:rPr>
        <w:t xml:space="preserve">  33601-0111</w:t>
      </w:r>
    </w:p>
    <w:p w:rsidR="00194AA6" w:rsidRDefault="00F94821" w:rsidP="00194AA6">
      <w:pPr>
        <w:widowControl w:val="0"/>
        <w:jc w:val="center"/>
        <w:rPr>
          <w:sz w:val="22"/>
          <w:szCs w:val="22"/>
        </w:rPr>
      </w:pPr>
      <w:r>
        <w:rPr>
          <w:sz w:val="22"/>
          <w:szCs w:val="22"/>
        </w:rPr>
        <w:t>Polk Power Station</w:t>
      </w:r>
      <w:r w:rsidR="00964F1C">
        <w:rPr>
          <w:sz w:val="22"/>
          <w:szCs w:val="22"/>
        </w:rPr>
        <w:t xml:space="preserve"> Unit 1</w:t>
      </w:r>
    </w:p>
    <w:p w:rsidR="00194AA6" w:rsidRDefault="00194AA6" w:rsidP="00E22553">
      <w:pPr>
        <w:widowControl w:val="0"/>
        <w:spacing w:after="720"/>
        <w:jc w:val="center"/>
        <w:rPr>
          <w:sz w:val="22"/>
          <w:szCs w:val="22"/>
        </w:rPr>
      </w:pPr>
      <w:r w:rsidRPr="00746205">
        <w:rPr>
          <w:sz w:val="22"/>
          <w:szCs w:val="22"/>
        </w:rPr>
        <w:t xml:space="preserve">Facility ID No. </w:t>
      </w:r>
      <w:r w:rsidR="00F94821">
        <w:rPr>
          <w:sz w:val="22"/>
          <w:szCs w:val="22"/>
        </w:rPr>
        <w:t>1050233</w:t>
      </w:r>
    </w:p>
    <w:p w:rsidR="00193F10" w:rsidRDefault="00193F10" w:rsidP="00194AA6">
      <w:pPr>
        <w:pStyle w:val="Heading4"/>
        <w:spacing w:after="120"/>
        <w:rPr>
          <w:bCs/>
        </w:rPr>
      </w:pPr>
      <w:r>
        <w:rPr>
          <w:bCs/>
        </w:rPr>
        <w:t>PROJECT</w:t>
      </w:r>
    </w:p>
    <w:p w:rsidR="009A1E14" w:rsidRPr="003F62F4" w:rsidRDefault="00193F10" w:rsidP="00194AA6">
      <w:pPr>
        <w:pStyle w:val="Heading1"/>
        <w:spacing w:after="0"/>
        <w:ind w:left="0"/>
        <w:jc w:val="center"/>
        <w:rPr>
          <w:sz w:val="22"/>
        </w:rPr>
      </w:pPr>
      <w:r w:rsidRPr="003F62F4">
        <w:rPr>
          <w:sz w:val="22"/>
        </w:rPr>
        <w:t>P</w:t>
      </w:r>
      <w:r w:rsidR="00194AA6" w:rsidRPr="003F62F4">
        <w:rPr>
          <w:sz w:val="22"/>
        </w:rPr>
        <w:t>roject</w:t>
      </w:r>
      <w:r w:rsidRPr="003F62F4">
        <w:rPr>
          <w:sz w:val="22"/>
        </w:rPr>
        <w:t xml:space="preserve"> No</w:t>
      </w:r>
      <w:r w:rsidR="00A132A9" w:rsidRPr="00A132A9">
        <w:rPr>
          <w:sz w:val="22"/>
        </w:rPr>
        <w:t>1050233-035-AC</w:t>
      </w:r>
    </w:p>
    <w:p w:rsidR="009A1E14" w:rsidRPr="003F62F4" w:rsidRDefault="00A132A9" w:rsidP="00E22553">
      <w:pPr>
        <w:pStyle w:val="Heading1"/>
        <w:spacing w:after="1320"/>
        <w:ind w:left="0"/>
        <w:jc w:val="center"/>
        <w:rPr>
          <w:sz w:val="22"/>
        </w:rPr>
      </w:pPr>
      <w:r>
        <w:rPr>
          <w:sz w:val="22"/>
        </w:rPr>
        <w:t xml:space="preserve">Removal of Visible Emission </w:t>
      </w:r>
      <w:r w:rsidR="00D429EB">
        <w:rPr>
          <w:sz w:val="22"/>
        </w:rPr>
        <w:t xml:space="preserve">Testing </w:t>
      </w:r>
      <w:r>
        <w:rPr>
          <w:sz w:val="22"/>
        </w:rPr>
        <w:t xml:space="preserve">Requirements </w:t>
      </w:r>
      <w:r>
        <w:rPr>
          <w:sz w:val="22"/>
        </w:rPr>
        <w:br/>
      </w:r>
      <w:r w:rsidR="00D429EB">
        <w:rPr>
          <w:sz w:val="22"/>
        </w:rPr>
        <w:t xml:space="preserve">for </w:t>
      </w:r>
      <w:r>
        <w:rPr>
          <w:sz w:val="22"/>
        </w:rPr>
        <w:t>Solid Fuel Handling System (EU 005)</w:t>
      </w:r>
    </w:p>
    <w:p w:rsidR="00193F10" w:rsidRDefault="00193F10" w:rsidP="00194AA6">
      <w:pPr>
        <w:pStyle w:val="Heading4"/>
        <w:spacing w:after="120"/>
        <w:rPr>
          <w:bCs/>
        </w:rPr>
      </w:pPr>
      <w:r>
        <w:rPr>
          <w:bCs/>
        </w:rPr>
        <w:t>COUNTY</w:t>
      </w:r>
    </w:p>
    <w:p w:rsidR="00193F10" w:rsidRPr="001D487F" w:rsidRDefault="00F94821" w:rsidP="00E22553">
      <w:pPr>
        <w:spacing w:after="720"/>
        <w:jc w:val="center"/>
        <w:rPr>
          <w:sz w:val="22"/>
        </w:rPr>
      </w:pPr>
      <w:r>
        <w:rPr>
          <w:sz w:val="22"/>
        </w:rPr>
        <w:t>Polk</w:t>
      </w:r>
      <w:r w:rsidR="001D1649" w:rsidRPr="001D1649">
        <w:rPr>
          <w:sz w:val="22"/>
        </w:rPr>
        <w:t xml:space="preserve"> </w:t>
      </w:r>
      <w:r w:rsidR="00193F10" w:rsidRPr="001D1649">
        <w:rPr>
          <w:sz w:val="22"/>
        </w:rPr>
        <w:t>County</w:t>
      </w:r>
      <w:r w:rsidR="001D487F">
        <w:rPr>
          <w:sz w:val="22"/>
        </w:rPr>
        <w:t>, Florida</w:t>
      </w:r>
    </w:p>
    <w:p w:rsidR="00193F10" w:rsidRDefault="00193F10" w:rsidP="00194AA6">
      <w:pPr>
        <w:pStyle w:val="Heading8"/>
        <w:jc w:val="center"/>
      </w:pPr>
      <w:r>
        <w:t>PERMITTING</w:t>
      </w:r>
      <w:r w:rsidR="001D487F">
        <w:t xml:space="preserve"> </w:t>
      </w:r>
      <w:r>
        <w:t>AUTHORITY</w:t>
      </w:r>
    </w:p>
    <w:p w:rsidR="00194AA6" w:rsidRPr="00746205" w:rsidRDefault="00194AA6" w:rsidP="00194AA6">
      <w:pPr>
        <w:widowControl w:val="0"/>
        <w:jc w:val="center"/>
        <w:rPr>
          <w:sz w:val="22"/>
          <w:szCs w:val="22"/>
        </w:rPr>
      </w:pPr>
      <w:r w:rsidRPr="00746205">
        <w:rPr>
          <w:sz w:val="22"/>
          <w:szCs w:val="22"/>
        </w:rPr>
        <w:t>Florida Department of Environmental Protection</w:t>
      </w:r>
    </w:p>
    <w:p w:rsidR="00194AA6" w:rsidRPr="00746205" w:rsidRDefault="00194AA6" w:rsidP="00194AA6">
      <w:pPr>
        <w:widowControl w:val="0"/>
        <w:jc w:val="center"/>
        <w:rPr>
          <w:sz w:val="22"/>
          <w:szCs w:val="22"/>
        </w:rPr>
      </w:pPr>
      <w:r w:rsidRPr="00746205">
        <w:rPr>
          <w:sz w:val="22"/>
          <w:szCs w:val="22"/>
        </w:rPr>
        <w:t>Division of Air Resource Management</w:t>
      </w:r>
    </w:p>
    <w:p w:rsidR="00194AA6" w:rsidRPr="00746205" w:rsidRDefault="00F94821" w:rsidP="00194AA6">
      <w:pPr>
        <w:widowControl w:val="0"/>
        <w:jc w:val="center"/>
        <w:rPr>
          <w:sz w:val="22"/>
          <w:szCs w:val="22"/>
        </w:rPr>
      </w:pPr>
      <w:r>
        <w:rPr>
          <w:sz w:val="22"/>
          <w:szCs w:val="22"/>
        </w:rPr>
        <w:t>Office of Permitting and Compliance</w:t>
      </w:r>
    </w:p>
    <w:p w:rsidR="00194AA6" w:rsidRDefault="00194AA6" w:rsidP="00194AA6">
      <w:pPr>
        <w:widowControl w:val="0"/>
        <w:jc w:val="center"/>
        <w:rPr>
          <w:sz w:val="22"/>
          <w:szCs w:val="22"/>
        </w:rPr>
      </w:pPr>
      <w:r>
        <w:rPr>
          <w:sz w:val="22"/>
          <w:szCs w:val="22"/>
        </w:rPr>
        <w:t>2600 Blair Stone Road, MS#5505</w:t>
      </w:r>
    </w:p>
    <w:p w:rsidR="00194AA6" w:rsidRDefault="00194AA6" w:rsidP="00E22553">
      <w:pPr>
        <w:widowControl w:val="0"/>
        <w:spacing w:after="960"/>
        <w:jc w:val="center"/>
        <w:rPr>
          <w:sz w:val="22"/>
          <w:szCs w:val="22"/>
        </w:rPr>
      </w:pPr>
      <w:smartTag w:uri="urn:schemas-microsoft-com:office:smarttags" w:element="place">
        <w:smartTag w:uri="urn:schemas-microsoft-com:office:smarttags" w:element="Street">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32399-2400</w:t>
          </w:r>
        </w:smartTag>
      </w:smartTag>
    </w:p>
    <w:p w:rsidR="00193F10" w:rsidRPr="001D487F" w:rsidRDefault="001C1190" w:rsidP="009E2740">
      <w:pPr>
        <w:spacing w:after="2160"/>
        <w:jc w:val="center"/>
        <w:rPr>
          <w:sz w:val="22"/>
        </w:rPr>
      </w:pPr>
      <w:r>
        <w:rPr>
          <w:sz w:val="22"/>
        </w:rPr>
        <w:t>August</w:t>
      </w:r>
      <w:r w:rsidR="00A132A9">
        <w:rPr>
          <w:sz w:val="22"/>
        </w:rPr>
        <w:t xml:space="preserve"> </w:t>
      </w:r>
      <w:r w:rsidR="00033898">
        <w:rPr>
          <w:sz w:val="22"/>
        </w:rPr>
        <w:t>20</w:t>
      </w:r>
      <w:r w:rsidR="003B480D" w:rsidRPr="00AC368F">
        <w:rPr>
          <w:sz w:val="22"/>
        </w:rPr>
        <w:t>, 201</w:t>
      </w:r>
      <w:r w:rsidR="00A132A9">
        <w:rPr>
          <w:sz w:val="22"/>
        </w:rPr>
        <w:t>3</w:t>
      </w:r>
    </w:p>
    <w:p w:rsidR="00193F10" w:rsidRDefault="00193F10">
      <w:pPr>
        <w:jc w:val="center"/>
        <w:rPr>
          <w:sz w:val="22"/>
        </w:rPr>
        <w:sectPr w:rsidR="00193F10" w:rsidSect="001F10B9">
          <w:pgSz w:w="12240" w:h="15840" w:code="1"/>
          <w:pgMar w:top="720" w:right="1080" w:bottom="720" w:left="1080" w:header="720" w:footer="720" w:gutter="0"/>
          <w:paperSrc w:first="15" w:other="15"/>
          <w:pgNumType w:start="1"/>
          <w:cols w:space="720"/>
        </w:sectPr>
      </w:pPr>
    </w:p>
    <w:p w:rsidR="00193F10" w:rsidRPr="008B1DC5" w:rsidRDefault="00193F10" w:rsidP="00511785">
      <w:pPr>
        <w:pStyle w:val="ListParagraph"/>
        <w:numPr>
          <w:ilvl w:val="0"/>
          <w:numId w:val="5"/>
        </w:numPr>
        <w:spacing w:after="120"/>
        <w:ind w:hanging="720"/>
        <w:contextualSpacing w:val="0"/>
        <w:rPr>
          <w:rFonts w:ascii="Times New Roman" w:hAnsi="Times New Roman" w:cs="Times New Roman"/>
          <w:b/>
          <w:caps/>
        </w:rPr>
      </w:pPr>
      <w:r w:rsidRPr="008B1DC5">
        <w:rPr>
          <w:rFonts w:ascii="Times New Roman" w:hAnsi="Times New Roman" w:cs="Times New Roman"/>
          <w:b/>
          <w:caps/>
        </w:rPr>
        <w:lastRenderedPageBreak/>
        <w:t>General Project INFORMATION</w:t>
      </w:r>
    </w:p>
    <w:p w:rsidR="00EE6112" w:rsidRPr="008B1DC5" w:rsidRDefault="00EE6112" w:rsidP="00511785">
      <w:pPr>
        <w:pStyle w:val="ListParagraph"/>
        <w:numPr>
          <w:ilvl w:val="1"/>
          <w:numId w:val="5"/>
        </w:numPr>
        <w:spacing w:after="120"/>
        <w:ind w:left="720" w:hanging="720"/>
        <w:rPr>
          <w:rFonts w:ascii="Times New Roman" w:hAnsi="Times New Roman" w:cs="Times New Roman"/>
          <w:b/>
          <w:caps/>
        </w:rPr>
      </w:pPr>
      <w:r w:rsidRPr="008B1DC5">
        <w:rPr>
          <w:rFonts w:ascii="Times New Roman" w:hAnsi="Times New Roman" w:cs="Times New Roman"/>
          <w:b/>
          <w:bCs/>
        </w:rPr>
        <w:t>Air Pollution Regulations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sidR="00694A38" w:rsidRPr="00694A38">
        <w:rPr>
          <w:sz w:val="22"/>
          <w:szCs w:val="22"/>
        </w:rPr>
        <w:t>, F.A.C.</w:t>
      </w:r>
      <w:r>
        <w:rPr>
          <w:sz w:val="22"/>
          <w:szCs w:val="22"/>
        </w:rPr>
        <w:t xml:space="preserve">  Specifically, air construction permits are required pursuant to Rules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 xml:space="preserve">industrial categories.  The Department adopts these federal regulations </w:t>
      </w:r>
      <w:r>
        <w:rPr>
          <w:sz w:val="22"/>
          <w:szCs w:val="22"/>
        </w:rPr>
        <w:t xml:space="preserve">on a quarterly basis </w:t>
      </w:r>
      <w:r w:rsidRPr="000302D6">
        <w:rPr>
          <w:sz w:val="22"/>
          <w:szCs w:val="22"/>
        </w:rPr>
        <w:t>in Rule 62-204.800, F.A.C.</w:t>
      </w:r>
    </w:p>
    <w:p w:rsidR="00193F10" w:rsidRPr="008B1DC5" w:rsidRDefault="00193F10" w:rsidP="00511785">
      <w:pPr>
        <w:pStyle w:val="ListParagraph"/>
        <w:numPr>
          <w:ilvl w:val="0"/>
          <w:numId w:val="6"/>
        </w:numPr>
        <w:spacing w:after="120"/>
        <w:ind w:left="720" w:hanging="720"/>
        <w:rPr>
          <w:rFonts w:ascii="Times New Roman" w:hAnsi="Times New Roman" w:cs="Times New Roman"/>
          <w:b/>
          <w:caps/>
        </w:rPr>
      </w:pPr>
      <w:r w:rsidRPr="008B1DC5">
        <w:rPr>
          <w:rFonts w:ascii="Times New Roman" w:hAnsi="Times New Roman" w:cs="Times New Roman"/>
          <w:b/>
          <w:bCs/>
        </w:rPr>
        <w:t>Facility Description and Location</w:t>
      </w:r>
    </w:p>
    <w:p w:rsidR="005B236F" w:rsidRDefault="005B236F" w:rsidP="005B236F">
      <w:pPr>
        <w:pStyle w:val="BodyText3"/>
        <w:numPr>
          <w:ilvl w:val="12"/>
          <w:numId w:val="0"/>
        </w:numPr>
        <w:spacing w:before="0"/>
      </w:pPr>
      <w:r>
        <w:t>The Tampa Electric Company (TEC)</w:t>
      </w:r>
      <w:r w:rsidR="008F5D48">
        <w:t xml:space="preserve"> operates the existing </w:t>
      </w:r>
      <w:r w:rsidRPr="007B0A71">
        <w:t>Polk Power Station</w:t>
      </w:r>
      <w:r w:rsidR="00E61A85">
        <w:t xml:space="preserve"> (PPS)</w:t>
      </w:r>
      <w:r w:rsidR="008F5D48">
        <w:t xml:space="preserve">, which is </w:t>
      </w:r>
      <w:r w:rsidRPr="00322633">
        <w:rPr>
          <w:szCs w:val="22"/>
        </w:rPr>
        <w:t xml:space="preserve">an electric power </w:t>
      </w:r>
      <w:r w:rsidR="008F5D48">
        <w:rPr>
          <w:szCs w:val="22"/>
        </w:rPr>
        <w:t xml:space="preserve">plant </w:t>
      </w:r>
      <w:r>
        <w:rPr>
          <w:szCs w:val="22"/>
        </w:rPr>
        <w:t>consisting of five key electrical generating units (Units 1</w:t>
      </w:r>
      <w:r w:rsidR="009129D2">
        <w:rPr>
          <w:szCs w:val="22"/>
        </w:rPr>
        <w:t xml:space="preserve"> to </w:t>
      </w:r>
      <w:r>
        <w:rPr>
          <w:szCs w:val="22"/>
        </w:rPr>
        <w:t xml:space="preserve">5).  The facility </w:t>
      </w:r>
      <w:r w:rsidRPr="007B0A71">
        <w:t xml:space="preserve">is categorized under </w:t>
      </w:r>
      <w:r w:rsidRPr="007B0A71">
        <w:rPr>
          <w:bCs/>
        </w:rPr>
        <w:t>Standard Industrial Classification Code No. 4911</w:t>
      </w:r>
      <w:r w:rsidR="008F5D48">
        <w:rPr>
          <w:bCs/>
        </w:rPr>
        <w:t>, for electrical services</w:t>
      </w:r>
      <w:r w:rsidRPr="007B0A71">
        <w:rPr>
          <w:bCs/>
        </w:rPr>
        <w:t xml:space="preserve">. </w:t>
      </w:r>
      <w:r w:rsidRPr="007B0A71">
        <w:t xml:space="preserve"> T</w:t>
      </w:r>
      <w:r w:rsidRPr="007B0A71">
        <w:rPr>
          <w:szCs w:val="22"/>
        </w:rPr>
        <w:t xml:space="preserve">he </w:t>
      </w:r>
      <w:r w:rsidR="008F5D48">
        <w:rPr>
          <w:szCs w:val="22"/>
        </w:rPr>
        <w:t xml:space="preserve">existing plant </w:t>
      </w:r>
      <w:r w:rsidRPr="007B0A71">
        <w:rPr>
          <w:szCs w:val="22"/>
        </w:rPr>
        <w:t>is located in Polk County at 9995 State Road 37 South in Mulberry, Florida</w:t>
      </w:r>
      <w:r w:rsidRPr="007B0A71">
        <w:t xml:space="preserve">.  The </w:t>
      </w:r>
      <w:r w:rsidRPr="007B0A71">
        <w:rPr>
          <w:szCs w:val="22"/>
        </w:rPr>
        <w:t>UTM coordinates are Zone 17, 402.45 k</w:t>
      </w:r>
      <w:r>
        <w:rPr>
          <w:szCs w:val="22"/>
        </w:rPr>
        <w:t>ilometers (k</w:t>
      </w:r>
      <w:r w:rsidRPr="007B0A71">
        <w:rPr>
          <w:szCs w:val="22"/>
        </w:rPr>
        <w:t>m</w:t>
      </w:r>
      <w:r>
        <w:rPr>
          <w:szCs w:val="22"/>
        </w:rPr>
        <w:t>)</w:t>
      </w:r>
      <w:r w:rsidRPr="007B0A71">
        <w:rPr>
          <w:szCs w:val="22"/>
        </w:rPr>
        <w:t xml:space="preserve"> East, and 3</w:t>
      </w:r>
      <w:r w:rsidR="009129D2">
        <w:rPr>
          <w:szCs w:val="22"/>
        </w:rPr>
        <w:t>,</w:t>
      </w:r>
      <w:r w:rsidRPr="007B0A71">
        <w:rPr>
          <w:szCs w:val="22"/>
        </w:rPr>
        <w:t>067.35 km North</w:t>
      </w:r>
      <w:r w:rsidRPr="007B0A71">
        <w:t>.  This</w:t>
      </w:r>
      <w:r>
        <w:t xml:space="preserve"> site is in an area that is in attainment (or designated as unclassifiable) for all air pollutants subject to state and federal Ambient Air Quality Standards (AAQS).</w:t>
      </w:r>
      <w:r w:rsidR="00E22553">
        <w:t xml:space="preserve"> </w:t>
      </w:r>
      <w:r>
        <w:t xml:space="preserve"> </w:t>
      </w:r>
      <w:fldSimple w:instr=" REF _Ref361914968 \h  \* MERGEFORMAT ">
        <w:r w:rsidR="002C6E7F" w:rsidRPr="002C6E7F">
          <w:t>Figure</w:t>
        </w:r>
        <w:r w:rsidR="002C6E7F" w:rsidRPr="005B236F">
          <w:rPr>
            <w:rFonts w:ascii="Times New Roman Bold" w:hAnsi="Times New Roman Bold"/>
            <w:caps/>
          </w:rPr>
          <w:t xml:space="preserve"> </w:t>
        </w:r>
        <w:r w:rsidR="002C6E7F" w:rsidRPr="002C6E7F">
          <w:rPr>
            <w:noProof/>
          </w:rPr>
          <w:t>1</w:t>
        </w:r>
      </w:fldSimple>
      <w:r>
        <w:t xml:space="preserve"> shows the location of Polk County while </w:t>
      </w:r>
      <w:fldSimple w:instr=" REF _Ref361915019 \h  \* MERGEFORMAT ">
        <w:r w:rsidR="002C6E7F" w:rsidRPr="002C6E7F">
          <w:t xml:space="preserve">Figure </w:t>
        </w:r>
        <w:r w:rsidR="002C6E7F" w:rsidRPr="002C6E7F">
          <w:rPr>
            <w:noProof/>
          </w:rPr>
          <w:t>2</w:t>
        </w:r>
      </w:fldSimple>
      <w:r>
        <w:t xml:space="preserve"> shows an aerial view of Unit 1 at the PPS.  </w:t>
      </w:r>
      <w:r w:rsidRPr="00362156">
        <w:t xml:space="preserve">The current Title V Air Operation Permit </w:t>
      </w:r>
      <w:r>
        <w:t xml:space="preserve">under which the </w:t>
      </w:r>
      <w:r w:rsidRPr="00362156">
        <w:t xml:space="preserve">PPS </w:t>
      </w:r>
      <w:r>
        <w:t>operate</w:t>
      </w:r>
      <w:r w:rsidR="00E22553">
        <w:t>s</w:t>
      </w:r>
      <w:r>
        <w:t xml:space="preserve"> </w:t>
      </w:r>
      <w:r w:rsidRPr="00362156">
        <w:t>is No. 1050233-02</w:t>
      </w:r>
      <w:r w:rsidR="00E61A85">
        <w:t>8</w:t>
      </w:r>
      <w:r w:rsidRPr="00362156">
        <w:t>-AV.</w:t>
      </w:r>
    </w:p>
    <w:p w:rsidR="005B236F" w:rsidRDefault="00EA56A0" w:rsidP="005B236F">
      <w:pPr>
        <w:pStyle w:val="BodyText3"/>
        <w:numPr>
          <w:ilvl w:val="12"/>
          <w:numId w:val="0"/>
        </w:numPr>
        <w:spacing w:before="0"/>
        <w:rPr>
          <w:szCs w:val="22"/>
        </w:rPr>
      </w:pPr>
      <w:r>
        <w:rPr>
          <w:noProof/>
          <w:szCs w:val="22"/>
        </w:rPr>
        <w:pict>
          <v:shapetype id="_x0000_t32" coordsize="21600,21600" o:spt="32" o:oned="t" path="m,l21600,21600e" filled="f">
            <v:path arrowok="t" fillok="f" o:connecttype="none"/>
            <o:lock v:ext="edit" shapetype="t"/>
          </v:shapetype>
          <v:shape id="_x0000_s1027" type="#_x0000_t32" style="position:absolute;margin-left:111pt;margin-top:109.8pt;width:59pt;height:16pt;flip:y;z-index:251657216" o:connectortype="straight">
            <v:stroke endarrow="block"/>
          </v:shape>
        </w:pict>
      </w:r>
      <w:r>
        <w:rPr>
          <w:noProof/>
          <w:szCs w:val="22"/>
          <w:lang w:eastAsia="zh-TW"/>
        </w:rPr>
        <w:pict>
          <v:shapetype id="_x0000_t202" coordsize="21600,21600" o:spt="202" path="m,l,21600r21600,l21600,xe">
            <v:stroke joinstyle="miter"/>
            <v:path gradientshapeok="t" o:connecttype="rect"/>
          </v:shapetype>
          <v:shape id="_x0000_s1026" type="#_x0000_t202" style="position:absolute;margin-left:44.7pt;margin-top:115.8pt;width:75.55pt;height:23.3pt;z-index:251658240;mso-width-relative:margin;mso-height-relative:margin" filled="f" stroked="f">
            <v:textbox style="mso-next-textbox:#_x0000_s1026">
              <w:txbxContent>
                <w:p w:rsidR="001C1190" w:rsidRPr="00190494" w:rsidRDefault="001C1190" w:rsidP="005B236F">
                  <w:pPr>
                    <w:rPr>
                      <w:b/>
                      <w:color w:val="FF0000"/>
                    </w:rPr>
                  </w:pPr>
                  <w:r w:rsidRPr="00190494">
                    <w:rPr>
                      <w:b/>
                      <w:color w:val="FF0000"/>
                    </w:rPr>
                    <w:t>Polk County</w:t>
                  </w:r>
                </w:p>
              </w:txbxContent>
            </v:textbox>
          </v:shape>
        </w:pict>
      </w:r>
      <w:r w:rsidR="005B236F">
        <w:rPr>
          <w:noProof/>
          <w:szCs w:val="22"/>
        </w:rPr>
        <w:drawing>
          <wp:inline distT="0" distB="0" distL="0" distR="0">
            <wp:extent cx="2781300" cy="2772044"/>
            <wp:effectExtent l="19050" t="19050" r="19050" b="28306"/>
            <wp:docPr id="2" name="Picture 1" descr="601px-Map_of_Florida_highlighting_Polk_County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1px-Map_of_Florida_highlighting_Polk_County_svg.png"/>
                    <pic:cNvPicPr/>
                  </pic:nvPicPr>
                  <pic:blipFill>
                    <a:blip r:embed="rId9" cstate="print"/>
                    <a:stretch>
                      <a:fillRect/>
                    </a:stretch>
                  </pic:blipFill>
                  <pic:spPr>
                    <a:xfrm>
                      <a:off x="0" y="0"/>
                      <a:ext cx="2779755" cy="2770504"/>
                    </a:xfrm>
                    <a:prstGeom prst="rect">
                      <a:avLst/>
                    </a:prstGeom>
                    <a:ln w="12700">
                      <a:solidFill>
                        <a:schemeClr val="tx1"/>
                      </a:solidFill>
                    </a:ln>
                  </pic:spPr>
                </pic:pic>
              </a:graphicData>
            </a:graphic>
          </wp:inline>
        </w:drawing>
      </w:r>
      <w:r w:rsidR="008F5D48">
        <w:rPr>
          <w:szCs w:val="22"/>
        </w:rPr>
        <w:tab/>
      </w:r>
      <w:r w:rsidR="008F5D48">
        <w:rPr>
          <w:szCs w:val="22"/>
        </w:rPr>
        <w:tab/>
      </w:r>
      <w:r w:rsidR="005B236F">
        <w:rPr>
          <w:noProof/>
          <w:szCs w:val="22"/>
        </w:rPr>
        <w:drawing>
          <wp:inline distT="0" distB="0" distL="0" distR="0">
            <wp:extent cx="2679700" cy="2816706"/>
            <wp:effectExtent l="19050" t="19050" r="25400" b="21744"/>
            <wp:docPr id="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a:stretch>
                      <a:fillRect/>
                    </a:stretch>
                  </pic:blipFill>
                  <pic:spPr bwMode="auto">
                    <a:xfrm>
                      <a:off x="0" y="0"/>
                      <a:ext cx="2682604" cy="2819758"/>
                    </a:xfrm>
                    <a:prstGeom prst="rect">
                      <a:avLst/>
                    </a:prstGeom>
                    <a:noFill/>
                    <a:ln w="19050">
                      <a:solidFill>
                        <a:schemeClr val="tx1"/>
                      </a:solidFill>
                      <a:miter lim="800000"/>
                      <a:headEnd/>
                      <a:tailEnd/>
                    </a:ln>
                  </pic:spPr>
                </pic:pic>
              </a:graphicData>
            </a:graphic>
          </wp:inline>
        </w:drawing>
      </w:r>
    </w:p>
    <w:p w:rsidR="005B236F" w:rsidRPr="005B236F" w:rsidRDefault="005B236F" w:rsidP="005B236F">
      <w:pPr>
        <w:pStyle w:val="Caption"/>
        <w:tabs>
          <w:tab w:val="left" w:pos="540"/>
          <w:tab w:val="left" w:pos="5220"/>
        </w:tabs>
        <w:rPr>
          <w:rFonts w:ascii="Times New Roman Bold" w:hAnsi="Times New Roman Bold"/>
          <w:caps w:val="0"/>
          <w:szCs w:val="22"/>
        </w:rPr>
      </w:pPr>
      <w:r w:rsidRPr="00C92848">
        <w:tab/>
      </w:r>
      <w:bookmarkStart w:id="0" w:name="_Ref361914968"/>
      <w:r w:rsidRPr="005B236F">
        <w:rPr>
          <w:rFonts w:ascii="Times New Roman Bold" w:hAnsi="Times New Roman Bold"/>
          <w:caps w:val="0"/>
        </w:rPr>
        <w:t xml:space="preserve">Figure </w:t>
      </w:r>
      <w:r w:rsidR="00EA56A0" w:rsidRPr="005B236F">
        <w:rPr>
          <w:rFonts w:ascii="Times New Roman Bold" w:hAnsi="Times New Roman Bold"/>
          <w:caps w:val="0"/>
        </w:rPr>
        <w:fldChar w:fldCharType="begin"/>
      </w:r>
      <w:r w:rsidRPr="005B236F">
        <w:rPr>
          <w:rFonts w:ascii="Times New Roman Bold" w:hAnsi="Times New Roman Bold"/>
          <w:caps w:val="0"/>
        </w:rPr>
        <w:instrText xml:space="preserve"> SEQ Figure \* ARABIC </w:instrText>
      </w:r>
      <w:r w:rsidR="00EA56A0" w:rsidRPr="005B236F">
        <w:rPr>
          <w:rFonts w:ascii="Times New Roman Bold" w:hAnsi="Times New Roman Bold"/>
          <w:caps w:val="0"/>
        </w:rPr>
        <w:fldChar w:fldCharType="separate"/>
      </w:r>
      <w:r w:rsidRPr="005B236F">
        <w:rPr>
          <w:rFonts w:ascii="Times New Roman Bold" w:hAnsi="Times New Roman Bold"/>
          <w:caps w:val="0"/>
          <w:noProof/>
        </w:rPr>
        <w:t>1</w:t>
      </w:r>
      <w:r w:rsidR="00EA56A0" w:rsidRPr="005B236F">
        <w:rPr>
          <w:rFonts w:ascii="Times New Roman Bold" w:hAnsi="Times New Roman Bold"/>
          <w:caps w:val="0"/>
        </w:rPr>
        <w:fldChar w:fldCharType="end"/>
      </w:r>
      <w:bookmarkEnd w:id="0"/>
      <w:r w:rsidRPr="005B236F">
        <w:rPr>
          <w:rFonts w:ascii="Times New Roman Bold" w:hAnsi="Times New Roman Bold"/>
          <w:caps w:val="0"/>
          <w:szCs w:val="22"/>
        </w:rPr>
        <w:t xml:space="preserve"> – Polk County in Florida</w:t>
      </w:r>
      <w:r w:rsidRPr="005B236F">
        <w:rPr>
          <w:rFonts w:ascii="Times New Roman Bold" w:hAnsi="Times New Roman Bold"/>
          <w:caps w:val="0"/>
          <w:szCs w:val="22"/>
        </w:rPr>
        <w:tab/>
      </w:r>
      <w:bookmarkStart w:id="1" w:name="_Ref361915019"/>
      <w:r w:rsidRPr="005B236F">
        <w:rPr>
          <w:rFonts w:ascii="Times New Roman Bold" w:hAnsi="Times New Roman Bold"/>
          <w:caps w:val="0"/>
        </w:rPr>
        <w:t xml:space="preserve">Figure </w:t>
      </w:r>
      <w:r w:rsidR="00EA56A0" w:rsidRPr="005B236F">
        <w:rPr>
          <w:rFonts w:ascii="Times New Roman Bold" w:hAnsi="Times New Roman Bold"/>
          <w:caps w:val="0"/>
        </w:rPr>
        <w:fldChar w:fldCharType="begin"/>
      </w:r>
      <w:r w:rsidRPr="005B236F">
        <w:rPr>
          <w:rFonts w:ascii="Times New Roman Bold" w:hAnsi="Times New Roman Bold"/>
          <w:caps w:val="0"/>
        </w:rPr>
        <w:instrText xml:space="preserve"> SEQ Figure \* ARABIC </w:instrText>
      </w:r>
      <w:r w:rsidR="00EA56A0" w:rsidRPr="005B236F">
        <w:rPr>
          <w:rFonts w:ascii="Times New Roman Bold" w:hAnsi="Times New Roman Bold"/>
          <w:caps w:val="0"/>
        </w:rPr>
        <w:fldChar w:fldCharType="separate"/>
      </w:r>
      <w:r w:rsidRPr="005B236F">
        <w:rPr>
          <w:rFonts w:ascii="Times New Roman Bold" w:hAnsi="Times New Roman Bold"/>
          <w:caps w:val="0"/>
          <w:noProof/>
        </w:rPr>
        <w:t>2</w:t>
      </w:r>
      <w:r w:rsidR="00EA56A0" w:rsidRPr="005B236F">
        <w:rPr>
          <w:rFonts w:ascii="Times New Roman Bold" w:hAnsi="Times New Roman Bold"/>
          <w:caps w:val="0"/>
        </w:rPr>
        <w:fldChar w:fldCharType="end"/>
      </w:r>
      <w:bookmarkEnd w:id="1"/>
      <w:r w:rsidRPr="005B236F">
        <w:rPr>
          <w:rFonts w:ascii="Times New Roman Bold" w:hAnsi="Times New Roman Bold"/>
          <w:caps w:val="0"/>
          <w:szCs w:val="22"/>
        </w:rPr>
        <w:t xml:space="preserve"> - TECO PPS Unit 1 IGCC Plant</w:t>
      </w:r>
    </w:p>
    <w:p w:rsidR="005B236F" w:rsidRDefault="005B236F" w:rsidP="005B236F">
      <w:pPr>
        <w:pStyle w:val="BodyText3"/>
        <w:numPr>
          <w:ilvl w:val="12"/>
          <w:numId w:val="0"/>
        </w:numPr>
        <w:spacing w:before="0"/>
        <w:rPr>
          <w:szCs w:val="22"/>
        </w:rPr>
      </w:pPr>
      <w:r w:rsidRPr="00994FAF">
        <w:rPr>
          <w:szCs w:val="22"/>
        </w:rPr>
        <w:lastRenderedPageBreak/>
        <w:t>Unit 1 consists of a nominal 2</w:t>
      </w:r>
      <w:r w:rsidR="001C1190">
        <w:rPr>
          <w:szCs w:val="22"/>
        </w:rPr>
        <w:t>6</w:t>
      </w:r>
      <w:r w:rsidRPr="00994FAF">
        <w:rPr>
          <w:szCs w:val="22"/>
        </w:rPr>
        <w:t xml:space="preserve">0 megawatt (MW) solid fuel-based integrated gasification and combined cycle (IGCC) </w:t>
      </w:r>
      <w:r>
        <w:rPr>
          <w:szCs w:val="22"/>
        </w:rPr>
        <w:t xml:space="preserve">plant </w:t>
      </w:r>
      <w:r w:rsidRPr="00994FAF">
        <w:rPr>
          <w:szCs w:val="22"/>
        </w:rPr>
        <w:t xml:space="preserve">including: a nominal 192 MW (gross) </w:t>
      </w:r>
      <w:r>
        <w:rPr>
          <w:szCs w:val="22"/>
        </w:rPr>
        <w:t>s</w:t>
      </w:r>
      <w:r w:rsidRPr="00994FAF">
        <w:rPr>
          <w:szCs w:val="22"/>
        </w:rPr>
        <w:t>yngas</w:t>
      </w:r>
      <w:r w:rsidR="009129D2">
        <w:rPr>
          <w:szCs w:val="22"/>
        </w:rPr>
        <w:t xml:space="preserve"> and </w:t>
      </w:r>
      <w:r w:rsidR="000210A6">
        <w:rPr>
          <w:szCs w:val="22"/>
        </w:rPr>
        <w:t>natural gas fired</w:t>
      </w:r>
      <w:r w:rsidRPr="00994FAF">
        <w:rPr>
          <w:szCs w:val="22"/>
        </w:rPr>
        <w:t xml:space="preserve"> General Electric (GE) 7FA </w:t>
      </w:r>
      <w:r w:rsidR="00BC2743" w:rsidRPr="00994FAF">
        <w:rPr>
          <w:szCs w:val="22"/>
        </w:rPr>
        <w:t xml:space="preserve">combustion turbine-electrical generator </w:t>
      </w:r>
      <w:r w:rsidRPr="00994FAF">
        <w:rPr>
          <w:szCs w:val="22"/>
        </w:rPr>
        <w:t>(</w:t>
      </w:r>
      <w:r w:rsidR="00BC2743">
        <w:rPr>
          <w:szCs w:val="22"/>
        </w:rPr>
        <w:t>CCCT</w:t>
      </w:r>
      <w:r w:rsidRPr="00994FAF">
        <w:rPr>
          <w:szCs w:val="22"/>
        </w:rPr>
        <w:t xml:space="preserve">) designated </w:t>
      </w:r>
      <w:r w:rsidR="009129D2">
        <w:rPr>
          <w:szCs w:val="22"/>
        </w:rPr>
        <w:t xml:space="preserve">as </w:t>
      </w:r>
      <w:r w:rsidRPr="00994FAF">
        <w:rPr>
          <w:szCs w:val="22"/>
        </w:rPr>
        <w:t>Emission Unit (EU) 001; a heat recovery steam generator (HRSG); a nominal 1</w:t>
      </w:r>
      <w:r w:rsidR="001C1190">
        <w:rPr>
          <w:szCs w:val="22"/>
        </w:rPr>
        <w:t>3</w:t>
      </w:r>
      <w:r w:rsidRPr="00994FAF">
        <w:rPr>
          <w:szCs w:val="22"/>
        </w:rPr>
        <w:t>3 MW (gross) steam turbine-electrical generator (ST</w:t>
      </w:r>
      <w:r>
        <w:rPr>
          <w:szCs w:val="22"/>
        </w:rPr>
        <w:t>E</w:t>
      </w:r>
      <w:r w:rsidRPr="00994FAF">
        <w:rPr>
          <w:szCs w:val="22"/>
        </w:rPr>
        <w:t>G); a solid fuel handling system designated as EU</w:t>
      </w:r>
      <w:r>
        <w:rPr>
          <w:szCs w:val="22"/>
        </w:rPr>
        <w:t xml:space="preserve"> </w:t>
      </w:r>
      <w:r w:rsidRPr="00994FAF">
        <w:rPr>
          <w:szCs w:val="22"/>
        </w:rPr>
        <w:t>005; an entrained flow solid fuel gasification system designated as EU</w:t>
      </w:r>
      <w:r>
        <w:rPr>
          <w:szCs w:val="22"/>
        </w:rPr>
        <w:t xml:space="preserve"> </w:t>
      </w:r>
      <w:r w:rsidRPr="00994FAF">
        <w:rPr>
          <w:szCs w:val="22"/>
        </w:rPr>
        <w:t xml:space="preserve">006; an oxygen plant; a synthetic gas (syngas) cleanup and sulfur recovery system; </w:t>
      </w:r>
      <w:r>
        <w:rPr>
          <w:szCs w:val="22"/>
        </w:rPr>
        <w:t xml:space="preserve">and </w:t>
      </w:r>
      <w:r w:rsidRPr="00994FAF">
        <w:rPr>
          <w:szCs w:val="22"/>
        </w:rPr>
        <w:t>a sulfuric acid plant</w:t>
      </w:r>
      <w:r w:rsidR="00E45BD3">
        <w:rPr>
          <w:szCs w:val="22"/>
        </w:rPr>
        <w:t xml:space="preserve"> (SAP)</w:t>
      </w:r>
      <w:r w:rsidRPr="00994FAF">
        <w:rPr>
          <w:szCs w:val="22"/>
        </w:rPr>
        <w:t xml:space="preserve"> designated as EU</w:t>
      </w:r>
      <w:r>
        <w:rPr>
          <w:szCs w:val="22"/>
        </w:rPr>
        <w:t xml:space="preserve"> </w:t>
      </w:r>
      <w:r w:rsidRPr="00994FAF">
        <w:rPr>
          <w:szCs w:val="22"/>
        </w:rPr>
        <w:t xml:space="preserve">004.  There is also a </w:t>
      </w:r>
      <w:r w:rsidRPr="00412556">
        <w:rPr>
          <w:szCs w:val="22"/>
        </w:rPr>
        <w:t>1</w:t>
      </w:r>
      <w:r>
        <w:rPr>
          <w:szCs w:val="22"/>
        </w:rPr>
        <w:t>2</w:t>
      </w:r>
      <w:r w:rsidRPr="00412556">
        <w:rPr>
          <w:szCs w:val="22"/>
        </w:rPr>
        <w:t xml:space="preserve">0 </w:t>
      </w:r>
      <w:r>
        <w:rPr>
          <w:szCs w:val="22"/>
        </w:rPr>
        <w:t>m</w:t>
      </w:r>
      <w:r w:rsidRPr="00412556">
        <w:rPr>
          <w:szCs w:val="22"/>
        </w:rPr>
        <w:t xml:space="preserve">illion </w:t>
      </w:r>
      <w:r>
        <w:rPr>
          <w:szCs w:val="22"/>
        </w:rPr>
        <w:t>British thermal units</w:t>
      </w:r>
      <w:r w:rsidRPr="00412556">
        <w:rPr>
          <w:szCs w:val="22"/>
        </w:rPr>
        <w:t xml:space="preserve"> per </w:t>
      </w:r>
      <w:r w:rsidR="008F5D48">
        <w:rPr>
          <w:szCs w:val="22"/>
        </w:rPr>
        <w:t>h</w:t>
      </w:r>
      <w:r w:rsidRPr="00412556">
        <w:rPr>
          <w:szCs w:val="22"/>
        </w:rPr>
        <w:t xml:space="preserve">our </w:t>
      </w:r>
      <w:r>
        <w:rPr>
          <w:szCs w:val="22"/>
        </w:rPr>
        <w:t>(MMBtu/hr) a</w:t>
      </w:r>
      <w:r w:rsidRPr="00412556">
        <w:rPr>
          <w:szCs w:val="22"/>
        </w:rPr>
        <w:t xml:space="preserve">uxiliary </w:t>
      </w:r>
      <w:r>
        <w:rPr>
          <w:szCs w:val="22"/>
        </w:rPr>
        <w:t>b</w:t>
      </w:r>
      <w:r w:rsidRPr="00412556">
        <w:rPr>
          <w:szCs w:val="22"/>
        </w:rPr>
        <w:t>oiler</w:t>
      </w:r>
      <w:r>
        <w:rPr>
          <w:szCs w:val="22"/>
        </w:rPr>
        <w:t xml:space="preserve"> designated as EU-003.  Approximately 65 MW are consumed by the oxygen plant and process auxiliary equipment which is the difference between net and gross power production</w:t>
      </w:r>
      <w:r w:rsidR="00E22553">
        <w:rPr>
          <w:szCs w:val="22"/>
        </w:rPr>
        <w:t xml:space="preserve"> (2</w:t>
      </w:r>
      <w:r w:rsidR="001C1190">
        <w:rPr>
          <w:szCs w:val="22"/>
        </w:rPr>
        <w:t>6</w:t>
      </w:r>
      <w:r w:rsidR="00E22553">
        <w:rPr>
          <w:szCs w:val="22"/>
        </w:rPr>
        <w:t>0 MW versus 3</w:t>
      </w:r>
      <w:r w:rsidR="001C1190">
        <w:rPr>
          <w:szCs w:val="22"/>
        </w:rPr>
        <w:t>2</w:t>
      </w:r>
      <w:r w:rsidR="00E22553">
        <w:rPr>
          <w:szCs w:val="22"/>
        </w:rPr>
        <w:t>5 MW)</w:t>
      </w:r>
      <w:r>
        <w:rPr>
          <w:szCs w:val="22"/>
        </w:rPr>
        <w:t xml:space="preserve">.  </w:t>
      </w:r>
      <w:r w:rsidR="000210A6">
        <w:rPr>
          <w:szCs w:val="22"/>
        </w:rPr>
        <w:t>T</w:t>
      </w:r>
      <w:r>
        <w:rPr>
          <w:szCs w:val="22"/>
        </w:rPr>
        <w:t xml:space="preserve">he startup fuel for the </w:t>
      </w:r>
      <w:r w:rsidR="00E45BD3">
        <w:rPr>
          <w:szCs w:val="22"/>
        </w:rPr>
        <w:t>SAP</w:t>
      </w:r>
      <w:r>
        <w:rPr>
          <w:szCs w:val="22"/>
        </w:rPr>
        <w:t xml:space="preserve"> and solid fuel gasifier is </w:t>
      </w:r>
      <w:r w:rsidR="000210A6">
        <w:rPr>
          <w:szCs w:val="22"/>
        </w:rPr>
        <w:t>natural gas</w:t>
      </w:r>
      <w:r>
        <w:rPr>
          <w:szCs w:val="22"/>
        </w:rPr>
        <w:t xml:space="preserve">.  </w:t>
      </w:r>
      <w:r w:rsidR="000210A6">
        <w:rPr>
          <w:szCs w:val="22"/>
        </w:rPr>
        <w:t>Natural gas</w:t>
      </w:r>
      <w:r>
        <w:rPr>
          <w:szCs w:val="22"/>
        </w:rPr>
        <w:t xml:space="preserve"> is used as the augmentation and backup fuel for the </w:t>
      </w:r>
      <w:r w:rsidR="00BC2743">
        <w:rPr>
          <w:szCs w:val="22"/>
        </w:rPr>
        <w:t>CCCT</w:t>
      </w:r>
      <w:r>
        <w:rPr>
          <w:szCs w:val="22"/>
        </w:rPr>
        <w:t xml:space="preserve">, while it is the only operational fuel used in the auxiliary boiler.  </w:t>
      </w:r>
    </w:p>
    <w:p w:rsidR="005B236F" w:rsidRDefault="006002EA" w:rsidP="005B236F">
      <w:pPr>
        <w:pStyle w:val="BodyText3"/>
        <w:numPr>
          <w:ilvl w:val="12"/>
          <w:numId w:val="0"/>
        </w:numPr>
        <w:spacing w:before="0"/>
        <w:rPr>
          <w:szCs w:val="22"/>
        </w:rPr>
      </w:pPr>
      <w:r>
        <w:rPr>
          <w:szCs w:val="22"/>
        </w:rPr>
        <w:t xml:space="preserve">Currently, </w:t>
      </w:r>
      <w:r w:rsidR="005B236F" w:rsidRPr="00994FAF">
        <w:rPr>
          <w:szCs w:val="22"/>
        </w:rPr>
        <w:t>Units 2</w:t>
      </w:r>
      <w:r w:rsidR="00C451C4">
        <w:rPr>
          <w:szCs w:val="22"/>
        </w:rPr>
        <w:t xml:space="preserve"> and</w:t>
      </w:r>
      <w:r w:rsidR="005B236F" w:rsidRPr="00994FAF">
        <w:rPr>
          <w:szCs w:val="22"/>
        </w:rPr>
        <w:t xml:space="preserve"> 3</w:t>
      </w:r>
      <w:r w:rsidR="00C451C4">
        <w:rPr>
          <w:szCs w:val="22"/>
        </w:rPr>
        <w:t xml:space="preserve"> </w:t>
      </w:r>
      <w:r w:rsidR="00C451C4" w:rsidRPr="00C451C4">
        <w:rPr>
          <w:szCs w:val="22"/>
        </w:rPr>
        <w:t xml:space="preserve">(EU 009 </w:t>
      </w:r>
      <w:r w:rsidR="00C451C4">
        <w:rPr>
          <w:szCs w:val="22"/>
        </w:rPr>
        <w:t>and</w:t>
      </w:r>
      <w:r w:rsidR="00C451C4" w:rsidRPr="00C451C4">
        <w:rPr>
          <w:szCs w:val="22"/>
        </w:rPr>
        <w:t xml:space="preserve"> 01</w:t>
      </w:r>
      <w:r w:rsidR="00C451C4">
        <w:rPr>
          <w:szCs w:val="22"/>
        </w:rPr>
        <w:t>0</w:t>
      </w:r>
      <w:r w:rsidR="00C451C4" w:rsidRPr="00C451C4">
        <w:rPr>
          <w:szCs w:val="22"/>
        </w:rPr>
        <w:t>)</w:t>
      </w:r>
      <w:r w:rsidR="00C451C4">
        <w:rPr>
          <w:szCs w:val="22"/>
        </w:rPr>
        <w:t xml:space="preserve"> at the facility are </w:t>
      </w:r>
      <w:r w:rsidR="00733BBB">
        <w:rPr>
          <w:szCs w:val="22"/>
        </w:rPr>
        <w:t>two</w:t>
      </w:r>
      <w:r w:rsidR="00C451C4" w:rsidRPr="00C451C4">
        <w:rPr>
          <w:szCs w:val="22"/>
        </w:rPr>
        <w:t xml:space="preserve"> 165 MW natural gas/fuel oil-fired GE 7FA simple cycle CTG</w:t>
      </w:r>
      <w:r w:rsidR="00C451C4">
        <w:rPr>
          <w:szCs w:val="22"/>
        </w:rPr>
        <w:t xml:space="preserve">, while Units 4 and </w:t>
      </w:r>
      <w:r w:rsidR="005B236F" w:rsidRPr="00994FAF">
        <w:rPr>
          <w:szCs w:val="22"/>
        </w:rPr>
        <w:t xml:space="preserve">5 </w:t>
      </w:r>
      <w:r w:rsidR="005B236F">
        <w:rPr>
          <w:szCs w:val="22"/>
        </w:rPr>
        <w:t>(EU 0</w:t>
      </w:r>
      <w:r w:rsidR="00BB4B20">
        <w:rPr>
          <w:szCs w:val="22"/>
        </w:rPr>
        <w:t>11</w:t>
      </w:r>
      <w:r w:rsidR="005B236F">
        <w:rPr>
          <w:szCs w:val="22"/>
        </w:rPr>
        <w:t xml:space="preserve"> </w:t>
      </w:r>
      <w:r w:rsidR="00733BBB">
        <w:rPr>
          <w:szCs w:val="22"/>
        </w:rPr>
        <w:t>and</w:t>
      </w:r>
      <w:r w:rsidR="005B236F">
        <w:rPr>
          <w:szCs w:val="22"/>
        </w:rPr>
        <w:t xml:space="preserve"> 0</w:t>
      </w:r>
      <w:r w:rsidR="00BB4B20">
        <w:rPr>
          <w:szCs w:val="22"/>
        </w:rPr>
        <w:t>12</w:t>
      </w:r>
      <w:r w:rsidR="005B236F">
        <w:rPr>
          <w:szCs w:val="22"/>
        </w:rPr>
        <w:t xml:space="preserve">) </w:t>
      </w:r>
      <w:r w:rsidR="00C451C4">
        <w:rPr>
          <w:szCs w:val="22"/>
        </w:rPr>
        <w:t>are</w:t>
      </w:r>
      <w:r w:rsidR="005B236F" w:rsidRPr="00994FAF">
        <w:rPr>
          <w:szCs w:val="22"/>
        </w:rPr>
        <w:t xml:space="preserve"> </w:t>
      </w:r>
      <w:r w:rsidR="00733BBB">
        <w:rPr>
          <w:szCs w:val="22"/>
        </w:rPr>
        <w:t xml:space="preserve">two </w:t>
      </w:r>
      <w:r w:rsidR="005B236F">
        <w:rPr>
          <w:szCs w:val="22"/>
        </w:rPr>
        <w:t xml:space="preserve">165 MW </w:t>
      </w:r>
      <w:r w:rsidR="005B236F" w:rsidRPr="00994FAF">
        <w:rPr>
          <w:szCs w:val="22"/>
        </w:rPr>
        <w:t>natural gas</w:t>
      </w:r>
      <w:r w:rsidR="00C451C4">
        <w:rPr>
          <w:szCs w:val="22"/>
        </w:rPr>
        <w:t>-</w:t>
      </w:r>
      <w:r w:rsidR="005B236F" w:rsidRPr="00994FAF">
        <w:rPr>
          <w:szCs w:val="22"/>
        </w:rPr>
        <w:t>fired GE 7FA simple cycle CTG.</w:t>
      </w:r>
      <w:r w:rsidR="005B236F">
        <w:rPr>
          <w:szCs w:val="22"/>
        </w:rPr>
        <w:t xml:space="preserve">  </w:t>
      </w:r>
      <w:r w:rsidR="000210A6">
        <w:rPr>
          <w:szCs w:val="22"/>
        </w:rPr>
        <w:t xml:space="preserve">These units recently received an air construction permit (No. </w:t>
      </w:r>
      <w:r w:rsidR="000210A6" w:rsidRPr="00AF08F0">
        <w:t>1050233-034-AC</w:t>
      </w:r>
      <w:r w:rsidR="000210A6">
        <w:t xml:space="preserve">, PSD-FL-421) to be converted </w:t>
      </w:r>
      <w:r w:rsidR="00E22553">
        <w:t xml:space="preserve">from individual simple cycle operation </w:t>
      </w:r>
      <w:r w:rsidR="000210A6">
        <w:t>into a 4-on-1</w:t>
      </w:r>
      <w:r w:rsidR="000210A6">
        <w:rPr>
          <w:szCs w:val="22"/>
        </w:rPr>
        <w:t xml:space="preserve"> combined cycle </w:t>
      </w:r>
      <w:r w:rsidR="00E22553">
        <w:rPr>
          <w:szCs w:val="22"/>
        </w:rPr>
        <w:t>unit</w:t>
      </w:r>
      <w:r w:rsidR="000210A6">
        <w:rPr>
          <w:szCs w:val="22"/>
        </w:rPr>
        <w:t xml:space="preserve">.  </w:t>
      </w:r>
      <w:r w:rsidR="005A37B9">
        <w:rPr>
          <w:szCs w:val="22"/>
        </w:rPr>
        <w:t>After conversion, e</w:t>
      </w:r>
      <w:r w:rsidR="000210A6">
        <w:rPr>
          <w:szCs w:val="22"/>
        </w:rPr>
        <w:t xml:space="preserve">ach </w:t>
      </w:r>
      <w:r w:rsidR="00E22553">
        <w:rPr>
          <w:szCs w:val="22"/>
        </w:rPr>
        <w:t>CTG</w:t>
      </w:r>
      <w:r w:rsidR="000210A6">
        <w:rPr>
          <w:szCs w:val="22"/>
        </w:rPr>
        <w:t xml:space="preserve"> will be allowed to operate on natural gas with a limited amount of fuel oil use.  In addition, each </w:t>
      </w:r>
      <w:r w:rsidR="00E22553">
        <w:rPr>
          <w:szCs w:val="22"/>
        </w:rPr>
        <w:t>CTG</w:t>
      </w:r>
      <w:r w:rsidR="000210A6">
        <w:rPr>
          <w:szCs w:val="22"/>
        </w:rPr>
        <w:t xml:space="preserve"> will still </w:t>
      </w:r>
      <w:r>
        <w:rPr>
          <w:szCs w:val="22"/>
        </w:rPr>
        <w:t xml:space="preserve">be </w:t>
      </w:r>
      <w:r w:rsidR="000210A6">
        <w:rPr>
          <w:szCs w:val="22"/>
        </w:rPr>
        <w:t xml:space="preserve">allowed to </w:t>
      </w:r>
      <w:r w:rsidR="003F7444">
        <w:rPr>
          <w:szCs w:val="22"/>
        </w:rPr>
        <w:t>operate</w:t>
      </w:r>
      <w:r w:rsidR="000210A6">
        <w:rPr>
          <w:szCs w:val="22"/>
        </w:rPr>
        <w:t xml:space="preserve"> in simple cycle mode but with curtailed operational hours.  Conversion of these </w:t>
      </w:r>
      <w:r w:rsidR="003F7444">
        <w:rPr>
          <w:szCs w:val="22"/>
        </w:rPr>
        <w:t>CTG</w:t>
      </w:r>
      <w:r w:rsidR="000210A6">
        <w:rPr>
          <w:szCs w:val="22"/>
        </w:rPr>
        <w:t xml:space="preserve"> to combined cycle operation has not yet </w:t>
      </w:r>
      <w:r w:rsidR="001C1190">
        <w:rPr>
          <w:szCs w:val="22"/>
        </w:rPr>
        <w:t>begun</w:t>
      </w:r>
      <w:r w:rsidR="000210A6">
        <w:rPr>
          <w:szCs w:val="22"/>
        </w:rPr>
        <w:t>.</w:t>
      </w:r>
    </w:p>
    <w:p w:rsidR="00193F10" w:rsidRPr="008B1DC5" w:rsidRDefault="001C4E37" w:rsidP="00511785">
      <w:pPr>
        <w:pStyle w:val="ListParagraph"/>
        <w:numPr>
          <w:ilvl w:val="0"/>
          <w:numId w:val="7"/>
        </w:numPr>
        <w:spacing w:after="120"/>
        <w:ind w:left="720" w:hanging="720"/>
        <w:rPr>
          <w:rFonts w:ascii="Times New Roman" w:hAnsi="Times New Roman" w:cs="Times New Roman"/>
          <w:b/>
          <w:caps/>
        </w:rPr>
      </w:pPr>
      <w:r w:rsidRPr="008B1DC5">
        <w:rPr>
          <w:rFonts w:ascii="Times New Roman" w:hAnsi="Times New Roman" w:cs="Times New Roman"/>
          <w:b/>
          <w:bCs/>
        </w:rPr>
        <w:t xml:space="preserve">Facility </w:t>
      </w:r>
      <w:r w:rsidR="00193F10" w:rsidRPr="008B1DC5">
        <w:rPr>
          <w:rFonts w:ascii="Times New Roman" w:hAnsi="Times New Roman" w:cs="Times New Roman"/>
          <w:b/>
          <w:bCs/>
        </w:rPr>
        <w:t>Regulatory Categories</w:t>
      </w:r>
    </w:p>
    <w:p w:rsidR="00F71458" w:rsidRPr="000620AB" w:rsidRDefault="00F71458" w:rsidP="00511785">
      <w:pPr>
        <w:numPr>
          <w:ilvl w:val="0"/>
          <w:numId w:val="1"/>
        </w:numPr>
        <w:spacing w:after="120"/>
        <w:rPr>
          <w:sz w:val="22"/>
          <w:szCs w:val="22"/>
        </w:rPr>
      </w:pPr>
      <w:r w:rsidRPr="000620AB">
        <w:rPr>
          <w:sz w:val="22"/>
          <w:szCs w:val="22"/>
        </w:rPr>
        <w:t xml:space="preserve">The facility is </w:t>
      </w:r>
      <w:r w:rsidR="00C81388">
        <w:rPr>
          <w:sz w:val="22"/>
          <w:szCs w:val="22"/>
        </w:rPr>
        <w:t xml:space="preserve">not </w:t>
      </w:r>
      <w:r w:rsidRPr="000620AB">
        <w:rPr>
          <w:sz w:val="22"/>
          <w:szCs w:val="22"/>
        </w:rPr>
        <w:t>a major source of hazardous air pollutants (HAP).</w:t>
      </w:r>
    </w:p>
    <w:p w:rsidR="00F71458" w:rsidRPr="000620AB" w:rsidRDefault="00F71458" w:rsidP="00511785">
      <w:pPr>
        <w:pStyle w:val="BodyText"/>
        <w:numPr>
          <w:ilvl w:val="0"/>
          <w:numId w:val="1"/>
        </w:numPr>
        <w:rPr>
          <w:sz w:val="22"/>
          <w:szCs w:val="22"/>
        </w:rPr>
      </w:pPr>
      <w:r w:rsidRPr="000620AB">
        <w:rPr>
          <w:sz w:val="22"/>
          <w:szCs w:val="22"/>
        </w:rPr>
        <w:t xml:space="preserve">The facility </w:t>
      </w:r>
      <w:r w:rsidR="00302267" w:rsidRPr="000620AB">
        <w:rPr>
          <w:sz w:val="22"/>
          <w:szCs w:val="22"/>
        </w:rPr>
        <w:t xml:space="preserve">operates </w:t>
      </w:r>
      <w:r w:rsidRPr="000620AB">
        <w:rPr>
          <w:sz w:val="22"/>
          <w:szCs w:val="22"/>
        </w:rPr>
        <w:t>units subject to the acid rain provisions of the Clean Air Act.</w:t>
      </w:r>
    </w:p>
    <w:p w:rsidR="00F71458" w:rsidRPr="000620AB" w:rsidRDefault="00F71458" w:rsidP="00511785">
      <w:pPr>
        <w:numPr>
          <w:ilvl w:val="0"/>
          <w:numId w:val="1"/>
        </w:numPr>
        <w:spacing w:after="120"/>
        <w:rPr>
          <w:sz w:val="22"/>
          <w:szCs w:val="22"/>
        </w:rPr>
      </w:pPr>
      <w:r w:rsidRPr="000620AB">
        <w:rPr>
          <w:sz w:val="22"/>
          <w:szCs w:val="22"/>
        </w:rPr>
        <w:t>The facility is a Title V major source of air pollution in accordance with Chapter 213, F.A.C.</w:t>
      </w:r>
    </w:p>
    <w:p w:rsidR="00F71458" w:rsidRDefault="00F71458" w:rsidP="00511785">
      <w:pPr>
        <w:numPr>
          <w:ilvl w:val="0"/>
          <w:numId w:val="1"/>
        </w:numPr>
        <w:spacing w:after="120"/>
        <w:rPr>
          <w:sz w:val="22"/>
          <w:szCs w:val="22"/>
        </w:rPr>
      </w:pPr>
      <w:r w:rsidRPr="000620AB">
        <w:rPr>
          <w:sz w:val="22"/>
          <w:szCs w:val="22"/>
        </w:rPr>
        <w:t>The facility is a major stationary source in accordance with Rule 62-212.400, F.A.C. for the Prevention of</w:t>
      </w:r>
      <w:r>
        <w:rPr>
          <w:sz w:val="22"/>
          <w:szCs w:val="22"/>
        </w:rPr>
        <w:t xml:space="preserve"> Significant Deterioration (PSD) of Air Quality.</w:t>
      </w:r>
    </w:p>
    <w:p w:rsidR="000620AB" w:rsidRDefault="000620AB" w:rsidP="00511785">
      <w:pPr>
        <w:numPr>
          <w:ilvl w:val="0"/>
          <w:numId w:val="1"/>
        </w:numPr>
        <w:spacing w:after="120"/>
        <w:rPr>
          <w:sz w:val="22"/>
          <w:szCs w:val="22"/>
        </w:rPr>
      </w:pPr>
      <w:r w:rsidRPr="001B1134">
        <w:rPr>
          <w:sz w:val="22"/>
          <w:szCs w:val="22"/>
        </w:rPr>
        <w:t xml:space="preserve">The facility operates units subject to the </w:t>
      </w:r>
      <w:r w:rsidR="0086767E">
        <w:rPr>
          <w:sz w:val="22"/>
          <w:szCs w:val="22"/>
        </w:rPr>
        <w:t>NSPS</w:t>
      </w:r>
      <w:r w:rsidRPr="001B1134">
        <w:rPr>
          <w:sz w:val="22"/>
          <w:szCs w:val="22"/>
        </w:rPr>
        <w:t xml:space="preserve"> </w:t>
      </w:r>
      <w:r>
        <w:rPr>
          <w:sz w:val="22"/>
          <w:szCs w:val="22"/>
        </w:rPr>
        <w:t>in Part</w:t>
      </w:r>
      <w:r w:rsidRPr="001B1134">
        <w:rPr>
          <w:sz w:val="22"/>
          <w:szCs w:val="22"/>
        </w:rPr>
        <w:t xml:space="preserve"> 60</w:t>
      </w:r>
      <w:r>
        <w:rPr>
          <w:sz w:val="22"/>
          <w:szCs w:val="22"/>
        </w:rPr>
        <w:t xml:space="preserve">, Title 40 of the </w:t>
      </w:r>
      <w:r w:rsidR="0086767E">
        <w:rPr>
          <w:sz w:val="22"/>
          <w:szCs w:val="22"/>
        </w:rPr>
        <w:t>CFR</w:t>
      </w:r>
      <w:r w:rsidRPr="001B1134">
        <w:rPr>
          <w:sz w:val="22"/>
          <w:szCs w:val="22"/>
        </w:rPr>
        <w:t>.</w:t>
      </w:r>
    </w:p>
    <w:p w:rsidR="005A37B9" w:rsidRDefault="005A37B9" w:rsidP="00511785">
      <w:pPr>
        <w:numPr>
          <w:ilvl w:val="0"/>
          <w:numId w:val="1"/>
        </w:numPr>
        <w:spacing w:after="120"/>
        <w:rPr>
          <w:sz w:val="22"/>
          <w:szCs w:val="22"/>
        </w:rPr>
      </w:pPr>
      <w:r w:rsidRPr="001B1134">
        <w:rPr>
          <w:sz w:val="22"/>
          <w:szCs w:val="22"/>
        </w:rPr>
        <w:t xml:space="preserve">The facility operates units subject to the </w:t>
      </w:r>
      <w:r w:rsidR="0086767E">
        <w:rPr>
          <w:sz w:val="22"/>
          <w:szCs w:val="22"/>
        </w:rPr>
        <w:t>NESHAP</w:t>
      </w:r>
      <w:r w:rsidRPr="001B1134">
        <w:rPr>
          <w:sz w:val="22"/>
          <w:szCs w:val="22"/>
        </w:rPr>
        <w:t xml:space="preserve"> </w:t>
      </w:r>
      <w:r>
        <w:rPr>
          <w:sz w:val="22"/>
          <w:szCs w:val="22"/>
        </w:rPr>
        <w:t>in Part</w:t>
      </w:r>
      <w:r w:rsidRPr="001B1134">
        <w:rPr>
          <w:sz w:val="22"/>
          <w:szCs w:val="22"/>
        </w:rPr>
        <w:t xml:space="preserve"> 6</w:t>
      </w:r>
      <w:r>
        <w:rPr>
          <w:sz w:val="22"/>
          <w:szCs w:val="22"/>
        </w:rPr>
        <w:t xml:space="preserve">3, Title 40 of the </w:t>
      </w:r>
      <w:r w:rsidR="0086767E">
        <w:rPr>
          <w:sz w:val="22"/>
          <w:szCs w:val="22"/>
        </w:rPr>
        <w:t>CFR</w:t>
      </w:r>
      <w:r w:rsidRPr="001B1134">
        <w:rPr>
          <w:sz w:val="22"/>
          <w:szCs w:val="22"/>
        </w:rPr>
        <w:t>.</w:t>
      </w:r>
    </w:p>
    <w:p w:rsidR="00193F10" w:rsidRPr="008B1DC5" w:rsidRDefault="00193F10" w:rsidP="00FD78D6">
      <w:pPr>
        <w:pStyle w:val="ListParagraph"/>
        <w:numPr>
          <w:ilvl w:val="0"/>
          <w:numId w:val="8"/>
        </w:numPr>
        <w:spacing w:after="120"/>
        <w:ind w:left="720" w:hanging="720"/>
        <w:contextualSpacing w:val="0"/>
        <w:rPr>
          <w:rFonts w:ascii="Times New Roman" w:hAnsi="Times New Roman" w:cs="Times New Roman"/>
          <w:b/>
          <w:caps/>
        </w:rPr>
      </w:pPr>
      <w:r w:rsidRPr="008B1DC5">
        <w:rPr>
          <w:rFonts w:ascii="Times New Roman" w:hAnsi="Times New Roman" w:cs="Times New Roman"/>
          <w:b/>
          <w:bCs/>
        </w:rPr>
        <w:t>Project Description</w:t>
      </w:r>
    </w:p>
    <w:p w:rsidR="008F5D48" w:rsidRPr="002C6E7F" w:rsidRDefault="002C6E7F" w:rsidP="002C6E7F">
      <w:pPr>
        <w:numPr>
          <w:ilvl w:val="12"/>
          <w:numId w:val="0"/>
        </w:numPr>
        <w:spacing w:after="120"/>
        <w:rPr>
          <w:sz w:val="22"/>
          <w:szCs w:val="22"/>
        </w:rPr>
      </w:pPr>
      <w:r w:rsidRPr="002C6E7F">
        <w:rPr>
          <w:sz w:val="22"/>
          <w:szCs w:val="22"/>
        </w:rPr>
        <w:t xml:space="preserve">This </w:t>
      </w:r>
      <w:r>
        <w:rPr>
          <w:sz w:val="22"/>
          <w:szCs w:val="22"/>
        </w:rPr>
        <w:t>project involves</w:t>
      </w:r>
      <w:r w:rsidRPr="002C6E7F">
        <w:rPr>
          <w:sz w:val="22"/>
          <w:szCs w:val="22"/>
        </w:rPr>
        <w:t xml:space="preserve"> the removal of the</w:t>
      </w:r>
      <w:r>
        <w:rPr>
          <w:sz w:val="22"/>
          <w:szCs w:val="22"/>
        </w:rPr>
        <w:t xml:space="preserve"> visible emission (VE)</w:t>
      </w:r>
      <w:r w:rsidRPr="002C6E7F">
        <w:rPr>
          <w:sz w:val="22"/>
          <w:szCs w:val="22"/>
        </w:rPr>
        <w:t xml:space="preserve"> </w:t>
      </w:r>
      <w:r w:rsidR="005A37B9">
        <w:rPr>
          <w:sz w:val="22"/>
          <w:szCs w:val="22"/>
        </w:rPr>
        <w:t xml:space="preserve">annual </w:t>
      </w:r>
      <w:r w:rsidRPr="002C6E7F">
        <w:rPr>
          <w:sz w:val="22"/>
          <w:szCs w:val="22"/>
        </w:rPr>
        <w:t xml:space="preserve">testing </w:t>
      </w:r>
      <w:r w:rsidR="005A37B9">
        <w:rPr>
          <w:sz w:val="22"/>
          <w:szCs w:val="22"/>
        </w:rPr>
        <w:t xml:space="preserve">requirement </w:t>
      </w:r>
      <w:r w:rsidRPr="002C6E7F">
        <w:rPr>
          <w:sz w:val="22"/>
          <w:szCs w:val="22"/>
        </w:rPr>
        <w:t xml:space="preserve">for </w:t>
      </w:r>
      <w:r>
        <w:rPr>
          <w:sz w:val="22"/>
          <w:szCs w:val="22"/>
        </w:rPr>
        <w:t xml:space="preserve">the </w:t>
      </w:r>
      <w:r w:rsidRPr="002C6E7F">
        <w:rPr>
          <w:sz w:val="22"/>
          <w:szCs w:val="22"/>
        </w:rPr>
        <w:t>dust suppression system</w:t>
      </w:r>
      <w:r w:rsidR="00DE2330">
        <w:rPr>
          <w:sz w:val="22"/>
          <w:szCs w:val="22"/>
        </w:rPr>
        <w:t>s</w:t>
      </w:r>
      <w:r w:rsidRPr="002C6E7F">
        <w:rPr>
          <w:sz w:val="22"/>
          <w:szCs w:val="22"/>
        </w:rPr>
        <w:t xml:space="preserve"> </w:t>
      </w:r>
      <w:r>
        <w:rPr>
          <w:sz w:val="22"/>
          <w:szCs w:val="22"/>
        </w:rPr>
        <w:t>associated with the solid fuel handling system (</w:t>
      </w:r>
      <w:r w:rsidRPr="002C6E7F">
        <w:rPr>
          <w:sz w:val="22"/>
          <w:szCs w:val="22"/>
        </w:rPr>
        <w:t>EU</w:t>
      </w:r>
      <w:r>
        <w:rPr>
          <w:sz w:val="22"/>
          <w:szCs w:val="22"/>
        </w:rPr>
        <w:t xml:space="preserve"> </w:t>
      </w:r>
      <w:r w:rsidRPr="002C6E7F">
        <w:rPr>
          <w:sz w:val="22"/>
          <w:szCs w:val="22"/>
        </w:rPr>
        <w:t>005</w:t>
      </w:r>
      <w:r>
        <w:rPr>
          <w:sz w:val="22"/>
          <w:szCs w:val="22"/>
        </w:rPr>
        <w:t>) of Unit 1</w:t>
      </w:r>
      <w:r w:rsidRPr="002C6E7F">
        <w:rPr>
          <w:sz w:val="22"/>
          <w:szCs w:val="22"/>
        </w:rPr>
        <w:t xml:space="preserve">.  </w:t>
      </w:r>
      <w:r>
        <w:rPr>
          <w:sz w:val="22"/>
          <w:szCs w:val="22"/>
        </w:rPr>
        <w:t>According to TEC, t</w:t>
      </w:r>
      <w:r w:rsidRPr="002C6E7F">
        <w:rPr>
          <w:sz w:val="22"/>
          <w:szCs w:val="22"/>
        </w:rPr>
        <w:t xml:space="preserve">he solid fuel used at PPS does not have any </w:t>
      </w:r>
      <w:r w:rsidR="00EA37DE">
        <w:rPr>
          <w:sz w:val="22"/>
          <w:szCs w:val="22"/>
        </w:rPr>
        <w:t>VE</w:t>
      </w:r>
      <w:r w:rsidRPr="002C6E7F">
        <w:rPr>
          <w:sz w:val="22"/>
          <w:szCs w:val="22"/>
        </w:rPr>
        <w:t>; therefore the dust suppression system</w:t>
      </w:r>
      <w:r w:rsidR="00DE2330">
        <w:rPr>
          <w:sz w:val="22"/>
          <w:szCs w:val="22"/>
        </w:rPr>
        <w:t>s</w:t>
      </w:r>
      <w:r w:rsidRPr="002C6E7F">
        <w:rPr>
          <w:sz w:val="22"/>
          <w:szCs w:val="22"/>
        </w:rPr>
        <w:t xml:space="preserve"> </w:t>
      </w:r>
      <w:r w:rsidR="00DE2330">
        <w:rPr>
          <w:sz w:val="22"/>
          <w:szCs w:val="22"/>
        </w:rPr>
        <w:t>have</w:t>
      </w:r>
      <w:r w:rsidRPr="002C6E7F">
        <w:rPr>
          <w:sz w:val="22"/>
          <w:szCs w:val="22"/>
        </w:rPr>
        <w:t xml:space="preserve"> never been needed. </w:t>
      </w:r>
      <w:r>
        <w:rPr>
          <w:sz w:val="22"/>
          <w:szCs w:val="22"/>
        </w:rPr>
        <w:t xml:space="preserve"> </w:t>
      </w:r>
      <w:r w:rsidRPr="002C6E7F">
        <w:rPr>
          <w:sz w:val="22"/>
          <w:szCs w:val="22"/>
        </w:rPr>
        <w:t xml:space="preserve">For dust control the </w:t>
      </w:r>
      <w:r w:rsidR="006002EA">
        <w:rPr>
          <w:sz w:val="22"/>
          <w:szCs w:val="22"/>
        </w:rPr>
        <w:t xml:space="preserve">solid </w:t>
      </w:r>
      <w:r w:rsidRPr="002C6E7F">
        <w:rPr>
          <w:sz w:val="22"/>
          <w:szCs w:val="22"/>
        </w:rPr>
        <w:t>fuel is sprayed with a water/surfactant spray</w:t>
      </w:r>
      <w:r>
        <w:rPr>
          <w:sz w:val="22"/>
          <w:szCs w:val="22"/>
        </w:rPr>
        <w:t xml:space="preserve"> </w:t>
      </w:r>
      <w:r w:rsidRPr="002C6E7F">
        <w:rPr>
          <w:sz w:val="22"/>
          <w:szCs w:val="22"/>
        </w:rPr>
        <w:t xml:space="preserve">before arriving at </w:t>
      </w:r>
      <w:r>
        <w:rPr>
          <w:sz w:val="22"/>
          <w:szCs w:val="22"/>
        </w:rPr>
        <w:t>PPS</w:t>
      </w:r>
      <w:r w:rsidRPr="002C6E7F">
        <w:rPr>
          <w:sz w:val="22"/>
          <w:szCs w:val="22"/>
        </w:rPr>
        <w:t xml:space="preserve"> and this level of control is sufficient to prevent </w:t>
      </w:r>
      <w:r w:rsidR="00EA37DE">
        <w:rPr>
          <w:sz w:val="22"/>
          <w:szCs w:val="22"/>
        </w:rPr>
        <w:t>VE</w:t>
      </w:r>
      <w:r w:rsidRPr="002C6E7F">
        <w:rPr>
          <w:sz w:val="22"/>
          <w:szCs w:val="22"/>
        </w:rPr>
        <w:t xml:space="preserve">. </w:t>
      </w:r>
      <w:r>
        <w:rPr>
          <w:sz w:val="22"/>
          <w:szCs w:val="22"/>
        </w:rPr>
        <w:t xml:space="preserve"> </w:t>
      </w:r>
      <w:r w:rsidR="00EA37DE">
        <w:rPr>
          <w:sz w:val="22"/>
          <w:szCs w:val="22"/>
        </w:rPr>
        <w:t xml:space="preserve">In addition, according to </w:t>
      </w:r>
      <w:r w:rsidR="008F0BC5">
        <w:rPr>
          <w:sz w:val="22"/>
          <w:szCs w:val="22"/>
        </w:rPr>
        <w:t>TEC</w:t>
      </w:r>
      <w:r w:rsidR="00EA37DE">
        <w:rPr>
          <w:sz w:val="22"/>
          <w:szCs w:val="22"/>
        </w:rPr>
        <w:t>, VE t</w:t>
      </w:r>
      <w:r w:rsidRPr="002C6E7F">
        <w:rPr>
          <w:sz w:val="22"/>
          <w:szCs w:val="22"/>
        </w:rPr>
        <w:t xml:space="preserve">esting of </w:t>
      </w:r>
      <w:r w:rsidR="00EA37DE">
        <w:rPr>
          <w:sz w:val="22"/>
          <w:szCs w:val="22"/>
        </w:rPr>
        <w:t>the</w:t>
      </w:r>
      <w:r w:rsidRPr="002C6E7F">
        <w:rPr>
          <w:sz w:val="22"/>
          <w:szCs w:val="22"/>
        </w:rPr>
        <w:t xml:space="preserve"> dust suppression systems</w:t>
      </w:r>
      <w:r>
        <w:rPr>
          <w:sz w:val="22"/>
          <w:szCs w:val="22"/>
        </w:rPr>
        <w:t xml:space="preserve"> </w:t>
      </w:r>
      <w:r w:rsidR="00EA37DE">
        <w:rPr>
          <w:sz w:val="22"/>
          <w:szCs w:val="22"/>
        </w:rPr>
        <w:t>used for the storage</w:t>
      </w:r>
      <w:r>
        <w:rPr>
          <w:sz w:val="22"/>
          <w:szCs w:val="22"/>
        </w:rPr>
        <w:t xml:space="preserve"> silos</w:t>
      </w:r>
      <w:r w:rsidR="00EA37DE">
        <w:rPr>
          <w:sz w:val="22"/>
          <w:szCs w:val="22"/>
        </w:rPr>
        <w:t xml:space="preserve"> and bins</w:t>
      </w:r>
      <w:r>
        <w:rPr>
          <w:sz w:val="22"/>
          <w:szCs w:val="22"/>
        </w:rPr>
        <w:t xml:space="preserve"> associated with this emission unit</w:t>
      </w:r>
      <w:r w:rsidRPr="002C6E7F">
        <w:rPr>
          <w:sz w:val="22"/>
          <w:szCs w:val="22"/>
        </w:rPr>
        <w:t xml:space="preserve"> would result in an administrative burden</w:t>
      </w:r>
      <w:r>
        <w:rPr>
          <w:sz w:val="22"/>
          <w:szCs w:val="22"/>
        </w:rPr>
        <w:t xml:space="preserve"> </w:t>
      </w:r>
      <w:r w:rsidR="00DE2330">
        <w:rPr>
          <w:sz w:val="22"/>
          <w:szCs w:val="22"/>
        </w:rPr>
        <w:t>while having</w:t>
      </w:r>
      <w:r w:rsidRPr="002C6E7F">
        <w:rPr>
          <w:sz w:val="22"/>
          <w:szCs w:val="22"/>
        </w:rPr>
        <w:t xml:space="preserve"> no environmental benefit</w:t>
      </w:r>
      <w:r w:rsidR="006002EA">
        <w:rPr>
          <w:sz w:val="22"/>
          <w:szCs w:val="22"/>
        </w:rPr>
        <w:t xml:space="preserve"> due to negligible VE</w:t>
      </w:r>
      <w:r w:rsidRPr="002C6E7F">
        <w:rPr>
          <w:sz w:val="22"/>
          <w:szCs w:val="22"/>
        </w:rPr>
        <w:t>.</w:t>
      </w:r>
    </w:p>
    <w:p w:rsidR="006002EA" w:rsidRDefault="003E0A7D" w:rsidP="00EA37DE">
      <w:pPr>
        <w:numPr>
          <w:ilvl w:val="12"/>
          <w:numId w:val="0"/>
        </w:numPr>
        <w:spacing w:after="120"/>
        <w:rPr>
          <w:sz w:val="22"/>
          <w:szCs w:val="22"/>
        </w:rPr>
      </w:pPr>
      <w:r w:rsidRPr="008F5D48">
        <w:rPr>
          <w:sz w:val="22"/>
          <w:szCs w:val="22"/>
        </w:rPr>
        <w:t>Th</w:t>
      </w:r>
      <w:r w:rsidR="00EA37DE">
        <w:rPr>
          <w:sz w:val="22"/>
          <w:szCs w:val="22"/>
        </w:rPr>
        <w:t>is</w:t>
      </w:r>
      <w:r w:rsidRPr="008F5D48">
        <w:rPr>
          <w:sz w:val="22"/>
          <w:szCs w:val="22"/>
        </w:rPr>
        <w:t xml:space="preserve"> </w:t>
      </w:r>
      <w:r w:rsidR="00923758" w:rsidRPr="008F5D48">
        <w:rPr>
          <w:sz w:val="22"/>
          <w:szCs w:val="22"/>
        </w:rPr>
        <w:t>revision</w:t>
      </w:r>
      <w:r w:rsidRPr="008F5D48">
        <w:rPr>
          <w:sz w:val="22"/>
          <w:szCs w:val="22"/>
        </w:rPr>
        <w:t xml:space="preserve"> require</w:t>
      </w:r>
      <w:r w:rsidR="00EA37DE">
        <w:rPr>
          <w:sz w:val="22"/>
          <w:szCs w:val="22"/>
        </w:rPr>
        <w:t>s</w:t>
      </w:r>
      <w:r w:rsidRPr="008F5D48">
        <w:rPr>
          <w:sz w:val="22"/>
          <w:szCs w:val="22"/>
        </w:rPr>
        <w:t xml:space="preserve"> changing several permit conditions</w:t>
      </w:r>
      <w:r w:rsidR="00EA37DE">
        <w:rPr>
          <w:sz w:val="22"/>
          <w:szCs w:val="22"/>
        </w:rPr>
        <w:t xml:space="preserve"> and description</w:t>
      </w:r>
      <w:r w:rsidR="00DF116E">
        <w:rPr>
          <w:sz w:val="22"/>
          <w:szCs w:val="22"/>
        </w:rPr>
        <w:t>s</w:t>
      </w:r>
      <w:r w:rsidRPr="008F5D48">
        <w:rPr>
          <w:sz w:val="22"/>
          <w:szCs w:val="22"/>
        </w:rPr>
        <w:t xml:space="preserve"> in</w:t>
      </w:r>
      <w:r w:rsidR="00163F4C" w:rsidRPr="008F5D48">
        <w:rPr>
          <w:sz w:val="22"/>
          <w:szCs w:val="22"/>
        </w:rPr>
        <w:t xml:space="preserve"> </w:t>
      </w:r>
      <w:r w:rsidR="00EA37DE">
        <w:rPr>
          <w:sz w:val="22"/>
          <w:szCs w:val="22"/>
        </w:rPr>
        <w:t xml:space="preserve">a </w:t>
      </w:r>
      <w:r w:rsidR="00163F4C" w:rsidRPr="008F5D48">
        <w:rPr>
          <w:sz w:val="22"/>
          <w:szCs w:val="22"/>
        </w:rPr>
        <w:t>previously issued PSD permit</w:t>
      </w:r>
      <w:r w:rsidR="00EA37DE" w:rsidRPr="00EA37DE">
        <w:rPr>
          <w:sz w:val="22"/>
          <w:szCs w:val="22"/>
        </w:rPr>
        <w:t xml:space="preserve"> </w:t>
      </w:r>
      <w:r w:rsidR="00EA37DE">
        <w:rPr>
          <w:sz w:val="22"/>
          <w:szCs w:val="22"/>
        </w:rPr>
        <w:t>(Project No. 1050233-029-AC, PSD-FL-194J).  T</w:t>
      </w:r>
      <w:r w:rsidR="001F61FB" w:rsidRPr="008F5D48">
        <w:rPr>
          <w:sz w:val="22"/>
          <w:szCs w:val="22"/>
        </w:rPr>
        <w:t xml:space="preserve">he applicant </w:t>
      </w:r>
      <w:r w:rsidR="00EA37DE">
        <w:rPr>
          <w:sz w:val="22"/>
          <w:szCs w:val="22"/>
        </w:rPr>
        <w:t xml:space="preserve">also </w:t>
      </w:r>
      <w:r w:rsidR="001F61FB" w:rsidRPr="008F5D48">
        <w:rPr>
          <w:sz w:val="22"/>
          <w:szCs w:val="22"/>
        </w:rPr>
        <w:t xml:space="preserve">submitted a request for a concurrent </w:t>
      </w:r>
      <w:r w:rsidR="00EA37DE">
        <w:rPr>
          <w:sz w:val="22"/>
          <w:szCs w:val="22"/>
        </w:rPr>
        <w:t>revision to its current Title V Air Operation Permit</w:t>
      </w:r>
      <w:r w:rsidR="001F61FB" w:rsidRPr="008F5D48">
        <w:rPr>
          <w:sz w:val="22"/>
          <w:szCs w:val="22"/>
        </w:rPr>
        <w:t xml:space="preserve"> </w:t>
      </w:r>
      <w:r w:rsidR="00EA37DE">
        <w:rPr>
          <w:sz w:val="22"/>
          <w:szCs w:val="22"/>
        </w:rPr>
        <w:t xml:space="preserve">(No. 1050233-028-AV) to reflect </w:t>
      </w:r>
      <w:r w:rsidR="004458BE">
        <w:rPr>
          <w:sz w:val="22"/>
          <w:szCs w:val="22"/>
        </w:rPr>
        <w:t>these</w:t>
      </w:r>
      <w:r w:rsidR="00EA37DE">
        <w:rPr>
          <w:sz w:val="22"/>
          <w:szCs w:val="22"/>
        </w:rPr>
        <w:t xml:space="preserve"> change</w:t>
      </w:r>
      <w:r w:rsidR="004458BE">
        <w:rPr>
          <w:sz w:val="22"/>
          <w:szCs w:val="22"/>
        </w:rPr>
        <w:t>s</w:t>
      </w:r>
      <w:r w:rsidR="00EA37DE">
        <w:rPr>
          <w:sz w:val="22"/>
          <w:szCs w:val="22"/>
        </w:rPr>
        <w:t xml:space="preserve">. </w:t>
      </w:r>
    </w:p>
    <w:p w:rsidR="001C4E37" w:rsidRPr="008B1DC5" w:rsidRDefault="001C4E37" w:rsidP="00511785">
      <w:pPr>
        <w:pStyle w:val="ListParagraph"/>
        <w:numPr>
          <w:ilvl w:val="0"/>
          <w:numId w:val="9"/>
        </w:numPr>
        <w:spacing w:after="120"/>
        <w:ind w:left="720" w:hanging="720"/>
        <w:rPr>
          <w:rFonts w:ascii="Times New Roman" w:hAnsi="Times New Roman" w:cs="Times New Roman"/>
          <w:b/>
          <w:caps/>
        </w:rPr>
      </w:pPr>
      <w:r w:rsidRPr="008B1DC5">
        <w:rPr>
          <w:rFonts w:ascii="Times New Roman" w:hAnsi="Times New Roman" w:cs="Times New Roman"/>
          <w:b/>
          <w:bCs/>
        </w:rPr>
        <w:t>Processing Schedule</w:t>
      </w:r>
    </w:p>
    <w:p w:rsidR="001C4E37" w:rsidRDefault="00A763A9" w:rsidP="00E61A85">
      <w:pPr>
        <w:pStyle w:val="BodyText"/>
        <w:tabs>
          <w:tab w:val="left" w:pos="1260"/>
        </w:tabs>
        <w:ind w:left="1267" w:hanging="1267"/>
        <w:rPr>
          <w:sz w:val="22"/>
        </w:rPr>
      </w:pPr>
      <w:r w:rsidRPr="00A763A9">
        <w:rPr>
          <w:sz w:val="22"/>
          <w:szCs w:val="22"/>
        </w:rPr>
        <w:t>0</w:t>
      </w:r>
      <w:r w:rsidR="00EA37DE">
        <w:rPr>
          <w:sz w:val="22"/>
          <w:szCs w:val="22"/>
        </w:rPr>
        <w:t>7</w:t>
      </w:r>
      <w:r w:rsidRPr="00A763A9">
        <w:rPr>
          <w:sz w:val="22"/>
          <w:szCs w:val="22"/>
        </w:rPr>
        <w:t>/</w:t>
      </w:r>
      <w:r w:rsidR="00EA37DE">
        <w:rPr>
          <w:sz w:val="22"/>
          <w:szCs w:val="22"/>
        </w:rPr>
        <w:t>12</w:t>
      </w:r>
      <w:r w:rsidRPr="00A763A9">
        <w:rPr>
          <w:sz w:val="22"/>
          <w:szCs w:val="22"/>
        </w:rPr>
        <w:t>/20</w:t>
      </w:r>
      <w:r w:rsidR="00EA37DE">
        <w:rPr>
          <w:sz w:val="22"/>
          <w:szCs w:val="22"/>
        </w:rPr>
        <w:t>13</w:t>
      </w:r>
      <w:r w:rsidRPr="00A763A9">
        <w:rPr>
          <w:sz w:val="22"/>
          <w:szCs w:val="22"/>
        </w:rPr>
        <w:t>:</w:t>
      </w:r>
      <w:r w:rsidRPr="00A763A9">
        <w:rPr>
          <w:sz w:val="22"/>
          <w:szCs w:val="22"/>
        </w:rPr>
        <w:tab/>
      </w:r>
      <w:r w:rsidR="001C4E37" w:rsidRPr="00782ABD">
        <w:rPr>
          <w:sz w:val="22"/>
        </w:rPr>
        <w:t xml:space="preserve">Received </w:t>
      </w:r>
      <w:r>
        <w:rPr>
          <w:sz w:val="22"/>
        </w:rPr>
        <w:t>an</w:t>
      </w:r>
      <w:r w:rsidR="001C4E37" w:rsidRPr="00782ABD">
        <w:rPr>
          <w:sz w:val="22"/>
        </w:rPr>
        <w:t xml:space="preserve"> application for </w:t>
      </w:r>
      <w:r w:rsidR="009F397F">
        <w:rPr>
          <w:sz w:val="22"/>
        </w:rPr>
        <w:t>c</w:t>
      </w:r>
      <w:r>
        <w:rPr>
          <w:sz w:val="22"/>
        </w:rPr>
        <w:t xml:space="preserve">oncurrent </w:t>
      </w:r>
      <w:r w:rsidR="009F397F">
        <w:rPr>
          <w:sz w:val="22"/>
        </w:rPr>
        <w:t>a</w:t>
      </w:r>
      <w:r>
        <w:rPr>
          <w:sz w:val="22"/>
        </w:rPr>
        <w:t xml:space="preserve">ir </w:t>
      </w:r>
      <w:r w:rsidR="009F397F">
        <w:rPr>
          <w:sz w:val="22"/>
        </w:rPr>
        <w:t>c</w:t>
      </w:r>
      <w:r>
        <w:rPr>
          <w:sz w:val="22"/>
        </w:rPr>
        <w:t xml:space="preserve">onstruction </w:t>
      </w:r>
      <w:r w:rsidR="009F397F">
        <w:rPr>
          <w:sz w:val="22"/>
        </w:rPr>
        <w:t>p</w:t>
      </w:r>
      <w:r>
        <w:rPr>
          <w:sz w:val="22"/>
        </w:rPr>
        <w:t>ermit</w:t>
      </w:r>
      <w:r w:rsidR="00E61A85">
        <w:rPr>
          <w:sz w:val="22"/>
        </w:rPr>
        <w:t xml:space="preserve"> revision</w:t>
      </w:r>
      <w:r>
        <w:rPr>
          <w:sz w:val="22"/>
        </w:rPr>
        <w:t xml:space="preserve"> </w:t>
      </w:r>
      <w:r w:rsidR="00EA37DE">
        <w:rPr>
          <w:sz w:val="22"/>
        </w:rPr>
        <w:t xml:space="preserve">and Title V air operation permit </w:t>
      </w:r>
      <w:r>
        <w:rPr>
          <w:sz w:val="22"/>
        </w:rPr>
        <w:t>revision</w:t>
      </w:r>
      <w:r w:rsidR="005B236F">
        <w:rPr>
          <w:sz w:val="22"/>
        </w:rPr>
        <w:t xml:space="preserve"> </w:t>
      </w:r>
      <w:r w:rsidR="00EA37DE">
        <w:rPr>
          <w:sz w:val="22"/>
        </w:rPr>
        <w:t>to remove the VE testing requirement</w:t>
      </w:r>
      <w:r w:rsidR="00DE2330">
        <w:rPr>
          <w:sz w:val="22"/>
        </w:rPr>
        <w:t xml:space="preserve"> for EU 005</w:t>
      </w:r>
      <w:r w:rsidR="004B6AE4">
        <w:rPr>
          <w:sz w:val="22"/>
        </w:rPr>
        <w:t>.</w:t>
      </w:r>
    </w:p>
    <w:p w:rsidR="00E61A85" w:rsidRDefault="001C1190" w:rsidP="00EA37DE">
      <w:pPr>
        <w:pStyle w:val="BodyText"/>
        <w:tabs>
          <w:tab w:val="left" w:pos="1260"/>
        </w:tabs>
        <w:spacing w:after="60"/>
        <w:ind w:left="1267" w:hanging="1267"/>
        <w:rPr>
          <w:sz w:val="22"/>
        </w:rPr>
      </w:pPr>
      <w:r w:rsidRPr="00AB7359">
        <w:rPr>
          <w:sz w:val="22"/>
        </w:rPr>
        <w:lastRenderedPageBreak/>
        <w:t>08</w:t>
      </w:r>
      <w:r w:rsidR="00EA37DE" w:rsidRPr="00AB7359">
        <w:rPr>
          <w:sz w:val="22"/>
        </w:rPr>
        <w:t>/</w:t>
      </w:r>
      <w:r w:rsidR="00033898">
        <w:rPr>
          <w:sz w:val="22"/>
        </w:rPr>
        <w:t>20</w:t>
      </w:r>
      <w:r w:rsidR="00EA37DE" w:rsidRPr="00AB7359">
        <w:rPr>
          <w:sz w:val="22"/>
        </w:rPr>
        <w:t>/2013</w:t>
      </w:r>
      <w:r w:rsidR="00EA37DE">
        <w:rPr>
          <w:sz w:val="22"/>
        </w:rPr>
        <w:t>:</w:t>
      </w:r>
      <w:r w:rsidR="00EA37DE">
        <w:rPr>
          <w:sz w:val="22"/>
        </w:rPr>
        <w:tab/>
      </w:r>
      <w:r w:rsidR="00E61A85">
        <w:rPr>
          <w:sz w:val="22"/>
        </w:rPr>
        <w:t>Issued the draft air construction permit revision (No. 1050233-035-AC, PSD-FL-194K) and Title V air operation permit revision (No. 1050233-036-AV).</w:t>
      </w:r>
    </w:p>
    <w:p w:rsidR="00193F10" w:rsidRPr="008B1DC5" w:rsidRDefault="00D51D78" w:rsidP="003A492C">
      <w:pPr>
        <w:pStyle w:val="ListParagraph"/>
        <w:numPr>
          <w:ilvl w:val="0"/>
          <w:numId w:val="5"/>
        </w:numPr>
        <w:spacing w:before="120" w:after="120" w:line="240" w:lineRule="auto"/>
        <w:ind w:hanging="720"/>
        <w:contextualSpacing w:val="0"/>
        <w:rPr>
          <w:rFonts w:ascii="Times New Roman" w:hAnsi="Times New Roman" w:cs="Times New Roman"/>
          <w:b/>
          <w:caps/>
        </w:rPr>
      </w:pPr>
      <w:r w:rsidRPr="008B1DC5">
        <w:rPr>
          <w:rFonts w:ascii="Times New Roman" w:hAnsi="Times New Roman" w:cs="Times New Roman"/>
          <w:b/>
          <w:caps/>
        </w:rPr>
        <w:t>PSD Applicability</w:t>
      </w:r>
    </w:p>
    <w:p w:rsidR="00D51D78" w:rsidRPr="002C66F8" w:rsidRDefault="00D51D78" w:rsidP="00511785">
      <w:pPr>
        <w:pStyle w:val="ListParagraph"/>
        <w:numPr>
          <w:ilvl w:val="0"/>
          <w:numId w:val="10"/>
        </w:numPr>
        <w:spacing w:after="120"/>
        <w:ind w:hanging="720"/>
        <w:contextualSpacing w:val="0"/>
        <w:rPr>
          <w:rFonts w:ascii="Times New Roman" w:hAnsi="Times New Roman" w:cs="Times New Roman"/>
          <w:b/>
          <w:caps/>
        </w:rPr>
      </w:pPr>
      <w:r w:rsidRPr="002C66F8">
        <w:rPr>
          <w:rFonts w:ascii="Times New Roman" w:hAnsi="Times New Roman" w:cs="Times New Roman"/>
          <w:b/>
        </w:rPr>
        <w:t>General PSD Applicability</w:t>
      </w:r>
    </w:p>
    <w:p w:rsidR="005C0768" w:rsidRPr="005C0768" w:rsidRDefault="005C0768" w:rsidP="005C0768">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AAQS or areas designated as “unclassifiable” for these regulated pollutants.  PSD pollutants include: </w:t>
      </w:r>
      <w:r w:rsidR="00694A38">
        <w:rPr>
          <w:rFonts w:eastAsia="Calibri"/>
          <w:sz w:val="22"/>
          <w:szCs w:val="22"/>
        </w:rPr>
        <w:t>carbon monoxide (</w:t>
      </w:r>
      <w:r w:rsidRPr="005C0768">
        <w:rPr>
          <w:rFonts w:eastAsia="Calibri"/>
          <w:sz w:val="22"/>
          <w:szCs w:val="22"/>
        </w:rPr>
        <w:t>CO</w:t>
      </w:r>
      <w:r w:rsidR="00694A38">
        <w:rPr>
          <w:rFonts w:eastAsia="Calibri"/>
          <w:sz w:val="22"/>
          <w:szCs w:val="22"/>
        </w:rPr>
        <w:t>)</w:t>
      </w:r>
      <w:r w:rsidRPr="005C0768">
        <w:rPr>
          <w:rFonts w:eastAsia="Calibri"/>
          <w:sz w:val="22"/>
          <w:szCs w:val="22"/>
        </w:rPr>
        <w:t>; NO</w:t>
      </w:r>
      <w:r w:rsidR="00EC1565" w:rsidRPr="00D95CA8">
        <w:rPr>
          <w:sz w:val="22"/>
          <w:szCs w:val="22"/>
          <w:vertAlign w:val="subscript"/>
        </w:rPr>
        <w:t>X</w:t>
      </w:r>
      <w:r w:rsidRPr="005C0768">
        <w:rPr>
          <w:rFonts w:eastAsia="Calibri"/>
          <w:sz w:val="22"/>
          <w:szCs w:val="22"/>
        </w:rPr>
        <w:t>; sulfur dioxide (SO</w:t>
      </w:r>
      <w:r w:rsidR="00EC1565" w:rsidRPr="00D95CA8">
        <w:rPr>
          <w:sz w:val="22"/>
          <w:szCs w:val="22"/>
          <w:vertAlign w:val="subscript"/>
        </w:rPr>
        <w:t>2</w:t>
      </w:r>
      <w:r w:rsidRPr="005C0768">
        <w:rPr>
          <w:rFonts w:eastAsia="Calibri"/>
          <w:sz w:val="22"/>
          <w:szCs w:val="22"/>
        </w:rPr>
        <w:t>); particulate matter (PM); PM smaller than 10 micrometers (PM</w:t>
      </w:r>
      <w:r w:rsidR="00EC1565" w:rsidRPr="00D95CA8">
        <w:rPr>
          <w:vertAlign w:val="subscript"/>
        </w:rPr>
        <w:t>10</w:t>
      </w:r>
      <w:r w:rsidRPr="005C0768">
        <w:rPr>
          <w:rFonts w:eastAsia="Calibri"/>
          <w:sz w:val="22"/>
          <w:szCs w:val="22"/>
        </w:rPr>
        <w:t xml:space="preserve">); volatile organic compounds (VOC); lead (Pb); Fluorides (F); sulfuric acid mist (SAM); total reduced sulfur (TRS), including </w:t>
      </w:r>
      <w:r w:rsidR="00694A38">
        <w:rPr>
          <w:rFonts w:eastAsia="Calibri"/>
          <w:sz w:val="22"/>
          <w:szCs w:val="22"/>
        </w:rPr>
        <w:t>hydrogen sulfide (</w:t>
      </w:r>
      <w:r w:rsidRPr="005C0768">
        <w:rPr>
          <w:rFonts w:eastAsia="Calibri"/>
          <w:sz w:val="22"/>
          <w:szCs w:val="22"/>
        </w:rPr>
        <w:t>H</w:t>
      </w:r>
      <w:r w:rsidR="00EC1565" w:rsidRPr="00D95CA8">
        <w:rPr>
          <w:vertAlign w:val="subscript"/>
        </w:rPr>
        <w:t>2</w:t>
      </w:r>
      <w:r w:rsidRPr="005C0768">
        <w:rPr>
          <w:rFonts w:eastAsia="Calibri"/>
          <w:sz w:val="22"/>
          <w:szCs w:val="22"/>
        </w:rPr>
        <w:t>S</w:t>
      </w:r>
      <w:r w:rsidR="00694A38">
        <w:rPr>
          <w:rFonts w:eastAsia="Calibri"/>
          <w:sz w:val="22"/>
          <w:szCs w:val="22"/>
        </w:rPr>
        <w:t>)</w:t>
      </w:r>
      <w:r w:rsidRPr="005C0768">
        <w:rPr>
          <w:rFonts w:eastAsia="Calibri"/>
          <w:sz w:val="22"/>
          <w:szCs w:val="22"/>
        </w:rPr>
        <w:t>; municipal waste combustor (MWC) organics measured as total tetra- through octa-chlorinated dibenzo-p-dioxins and dibenzofurans (D/F); MWC metals measured as PM; MWC acid gases measured as SO</w:t>
      </w:r>
      <w:r w:rsidR="00EC1565" w:rsidRPr="00D95CA8">
        <w:rPr>
          <w:vertAlign w:val="subscript"/>
        </w:rPr>
        <w:t>2</w:t>
      </w:r>
      <w:r w:rsidRPr="005C0768">
        <w:rPr>
          <w:rFonts w:eastAsia="Calibri"/>
          <w:sz w:val="22"/>
          <w:szCs w:val="22"/>
        </w:rPr>
        <w:t xml:space="preserve"> and hydrogen chloride (HCl); and mercury (Hg).  </w:t>
      </w:r>
    </w:p>
    <w:p w:rsidR="005C0768" w:rsidRPr="005C0768" w:rsidRDefault="005C0768" w:rsidP="005C0768">
      <w:pPr>
        <w:widowControl w:val="0"/>
        <w:spacing w:after="120"/>
        <w:rPr>
          <w:rFonts w:eastAsia="Calibri"/>
          <w:sz w:val="22"/>
          <w:szCs w:val="22"/>
        </w:rPr>
      </w:pPr>
      <w:r w:rsidRPr="005C0768">
        <w:rPr>
          <w:rFonts w:eastAsia="Calibri"/>
          <w:sz w:val="22"/>
          <w:szCs w:val="22"/>
        </w:rPr>
        <w:t xml:space="preserve">As defined in Rule 62-210.200(179)(a)1, F.A.C., a “major stationary source” is any of 28 listed stationary sources of air pollutants which emits, or has the potential to emit, 100 tons per year (TPY) or more of any PSD pollutant.  </w:t>
      </w:r>
      <w:hyperlink r:id="rId11" w:history="1">
        <w:r w:rsidRPr="005C0768">
          <w:rPr>
            <w:rFonts w:eastAsia="Calibri"/>
            <w:color w:val="0000FF"/>
            <w:sz w:val="22"/>
            <w:szCs w:val="22"/>
            <w:u w:val="single"/>
          </w:rPr>
          <w:t>Link to Rule 62-210, F.A.C.</w:t>
        </w:r>
      </w:hyperlink>
      <w:r w:rsidRPr="005C0768">
        <w:rPr>
          <w:rFonts w:eastAsia="Calibri"/>
          <w:sz w:val="22"/>
          <w:szCs w:val="22"/>
        </w:rPr>
        <w:t xml:space="preserve"> </w:t>
      </w:r>
      <w:r w:rsidR="003A492C">
        <w:rPr>
          <w:rFonts w:eastAsia="Calibri"/>
          <w:sz w:val="22"/>
          <w:szCs w:val="22"/>
        </w:rPr>
        <w:t xml:space="preserve"> </w:t>
      </w:r>
      <w:r w:rsidRPr="005C0768">
        <w:rPr>
          <w:rFonts w:eastAsia="Calibri"/>
          <w:sz w:val="22"/>
          <w:szCs w:val="22"/>
        </w:rPr>
        <w:t xml:space="preserve">The list given in the citation includes the category of “fossil fuel-fired steam electric plants of more than 250 </w:t>
      </w:r>
      <w:r w:rsidR="00442BCF">
        <w:rPr>
          <w:rFonts w:eastAsia="Calibri"/>
          <w:sz w:val="22"/>
          <w:szCs w:val="22"/>
        </w:rPr>
        <w:t>MMBtu/hr</w:t>
      </w:r>
      <w:r w:rsidRPr="005C0768">
        <w:rPr>
          <w:rFonts w:eastAsia="Calibri"/>
          <w:sz w:val="22"/>
          <w:szCs w:val="22"/>
        </w:rPr>
        <w:t xml:space="preserve">”.  The </w:t>
      </w:r>
      <w:r w:rsidR="00DE2330">
        <w:rPr>
          <w:rFonts w:eastAsia="Calibri"/>
          <w:sz w:val="22"/>
          <w:szCs w:val="22"/>
        </w:rPr>
        <w:t>PPS</w:t>
      </w:r>
      <w:r w:rsidRPr="005C0768">
        <w:rPr>
          <w:rFonts w:eastAsia="Calibri"/>
          <w:sz w:val="22"/>
          <w:szCs w:val="22"/>
        </w:rPr>
        <w:t xml:space="preserve"> is a major stationary source based on its actual emissions and its potential to emit PSD pollutants.  The major stationary source threshold for source categories </w:t>
      </w:r>
      <w:r w:rsidR="00DE2330">
        <w:rPr>
          <w:rFonts w:eastAsia="Calibri"/>
          <w:sz w:val="22"/>
          <w:szCs w:val="22"/>
        </w:rPr>
        <w:t xml:space="preserve">that is not one of the </w:t>
      </w:r>
      <w:r w:rsidR="00DE2330" w:rsidRPr="005C0768">
        <w:rPr>
          <w:rFonts w:eastAsia="Calibri"/>
          <w:sz w:val="22"/>
          <w:szCs w:val="22"/>
        </w:rPr>
        <w:t xml:space="preserve">28 listed stationary sources </w:t>
      </w:r>
      <w:r w:rsidRPr="005C0768">
        <w:rPr>
          <w:rFonts w:eastAsia="Calibri"/>
          <w:sz w:val="22"/>
          <w:szCs w:val="22"/>
        </w:rPr>
        <w:t>is 250 TPY or more of any PSD pollutant.</w:t>
      </w:r>
    </w:p>
    <w:p w:rsidR="005C0768" w:rsidRPr="005C0768" w:rsidRDefault="005C0768" w:rsidP="005C0768">
      <w:pPr>
        <w:widowControl w:val="0"/>
        <w:spacing w:after="120"/>
        <w:rPr>
          <w:rFonts w:eastAsia="Calibri"/>
          <w:sz w:val="22"/>
          <w:szCs w:val="22"/>
        </w:rPr>
      </w:pPr>
      <w:r w:rsidRPr="005C0768">
        <w:rPr>
          <w:rFonts w:eastAsia="Calibri"/>
          <w:sz w:val="22"/>
          <w:szCs w:val="22"/>
        </w:rPr>
        <w:t xml:space="preserve">For major stationary sources, PSD applicability is based on emissions thresholds known as the significant emission rates (SER) as defined in Rule 62-210.200, (Definitions) F.A.C.  Emissions of PSD pollutants from the project that equal or exceed these SER are considered “significant”.  </w:t>
      </w:r>
      <w:r w:rsidR="00442BCF">
        <w:rPr>
          <w:rFonts w:eastAsia="Calibri"/>
          <w:sz w:val="22"/>
          <w:szCs w:val="22"/>
        </w:rPr>
        <w:t>Best Available Control Technology (</w:t>
      </w:r>
      <w:r w:rsidRPr="005C0768">
        <w:rPr>
          <w:rFonts w:eastAsia="Calibri"/>
          <w:sz w:val="22"/>
          <w:szCs w:val="22"/>
        </w:rPr>
        <w:t>BACT</w:t>
      </w:r>
      <w:r w:rsidR="00442BCF">
        <w:rPr>
          <w:rFonts w:eastAsia="Calibri"/>
          <w:sz w:val="22"/>
          <w:szCs w:val="22"/>
        </w:rPr>
        <w:t>)</w:t>
      </w:r>
      <w:r w:rsidRPr="005C0768">
        <w:rPr>
          <w:rFonts w:eastAsia="Calibri"/>
          <w:sz w:val="22"/>
          <w:szCs w:val="22"/>
        </w:rPr>
        <w:t xml:space="preserve"> must be employed to minimize emissions of each PSD pollutant and an air quality impact analysis must be conducted for the PSD pollutants for which AAQS are defined.  SER also means any emissions rate or any net emissions increase of a PSD pollutant associated with a major stationary source or major modification which would construct within 10 </w:t>
      </w:r>
      <w:r w:rsidR="00442BCF">
        <w:rPr>
          <w:rFonts w:eastAsia="Calibri"/>
          <w:sz w:val="22"/>
          <w:szCs w:val="22"/>
        </w:rPr>
        <w:t>km</w:t>
      </w:r>
      <w:r w:rsidRPr="005C0768">
        <w:rPr>
          <w:rFonts w:eastAsia="Calibri"/>
          <w:sz w:val="22"/>
          <w:szCs w:val="22"/>
        </w:rPr>
        <w:t xml:space="preserve"> of a Class I area and have an impact on such area equal to or greater than 1 gram per cubic meter, 24-hour average.  </w:t>
      </w:r>
    </w:p>
    <w:p w:rsidR="005C0768" w:rsidRPr="005C0768" w:rsidRDefault="005C0768" w:rsidP="005C0768">
      <w:pPr>
        <w:widowControl w:val="0"/>
        <w:spacing w:after="120"/>
        <w:rPr>
          <w:rFonts w:eastAsia="Calibri"/>
          <w:sz w:val="22"/>
          <w:szCs w:val="22"/>
        </w:rPr>
      </w:pPr>
      <w:r w:rsidRPr="005C0768">
        <w:rPr>
          <w:rFonts w:eastAsia="Calibri"/>
          <w:sz w:val="22"/>
          <w:szCs w:val="22"/>
        </w:rPr>
        <w:t xml:space="preserve">Although a facility may be “major” for only one PSD pollutant, a project must include BACT controls for any PSD pollutant that exceeds the corresponding SER given </w:t>
      </w:r>
      <w:r w:rsidRPr="00DE2330">
        <w:rPr>
          <w:rFonts w:eastAsia="Calibri"/>
          <w:sz w:val="22"/>
          <w:szCs w:val="22"/>
        </w:rPr>
        <w:t xml:space="preserve">in </w:t>
      </w:r>
      <w:fldSimple w:instr=" REF _Ref361990142 \h  \* MERGEFORMAT ">
        <w:r w:rsidR="00DE2330" w:rsidRPr="00DE2330">
          <w:rPr>
            <w:sz w:val="22"/>
            <w:szCs w:val="22"/>
          </w:rPr>
          <w:t xml:space="preserve">Table </w:t>
        </w:r>
        <w:r w:rsidR="00DE2330" w:rsidRPr="00DE2330">
          <w:rPr>
            <w:noProof/>
            <w:sz w:val="22"/>
            <w:szCs w:val="22"/>
          </w:rPr>
          <w:t>1</w:t>
        </w:r>
      </w:fldSimple>
      <w:r w:rsidRPr="005C0768">
        <w:rPr>
          <w:rFonts w:eastAsia="Calibri"/>
          <w:sz w:val="22"/>
          <w:szCs w:val="22"/>
        </w:rPr>
        <w:t>.</w:t>
      </w:r>
    </w:p>
    <w:p w:rsidR="005C0768" w:rsidRPr="00DE2330" w:rsidRDefault="00DE2330" w:rsidP="00DE2330">
      <w:pPr>
        <w:pStyle w:val="Caption"/>
        <w:spacing w:before="0"/>
        <w:jc w:val="center"/>
        <w:rPr>
          <w:color w:val="000000"/>
          <w:szCs w:val="22"/>
        </w:rPr>
      </w:pPr>
      <w:bookmarkStart w:id="2" w:name="_Ref361990142"/>
      <w:r w:rsidRPr="00DE2330">
        <w:t xml:space="preserve">Table </w:t>
      </w:r>
      <w:fldSimple w:instr=" SEQ Table \* ARABIC ">
        <w:r w:rsidRPr="00DE2330">
          <w:rPr>
            <w:noProof/>
          </w:rPr>
          <w:t>1</w:t>
        </w:r>
      </w:fldSimple>
      <w:bookmarkEnd w:id="2"/>
      <w:r w:rsidR="005C0768" w:rsidRPr="00DE2330">
        <w:rPr>
          <w:color w:val="000000"/>
          <w:szCs w:val="22"/>
        </w:rPr>
        <w:t xml:space="preserve"> – List of SER by PSD-Pollutant </w:t>
      </w:r>
      <w:r w:rsidR="005C0768" w:rsidRPr="00DE2330">
        <w:rPr>
          <w:color w:val="000000"/>
          <w:szCs w:val="22"/>
          <w:vertAlign w:val="superscript"/>
        </w:rPr>
        <w:t xml:space="preserve">1, </w:t>
      </w:r>
      <w:r w:rsidR="00ED0578" w:rsidRPr="00DE2330">
        <w:rPr>
          <w:color w:val="000000"/>
          <w:szCs w:val="22"/>
          <w:vertAlign w:val="superscript"/>
        </w:rPr>
        <w:t>3</w:t>
      </w: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2280"/>
        <w:gridCol w:w="2640"/>
        <w:gridCol w:w="2160"/>
        <w:gridCol w:w="2280"/>
      </w:tblGrid>
      <w:tr w:rsidR="005C0768" w:rsidRPr="005C0768" w:rsidTr="006002EA">
        <w:trPr>
          <w:trHeight w:val="290"/>
        </w:trPr>
        <w:tc>
          <w:tcPr>
            <w:tcW w:w="2280" w:type="dxa"/>
            <w:tcBorders>
              <w:top w:val="single" w:sz="12" w:space="0" w:color="000000"/>
              <w:left w:val="single" w:sz="12" w:space="0" w:color="000000"/>
              <w:bottom w:val="single" w:sz="12" w:space="0" w:color="000000"/>
              <w:right w:val="single" w:sz="4" w:space="0" w:color="auto"/>
            </w:tcBorders>
            <w:shd w:val="clear" w:color="auto" w:fill="C6D9F1" w:themeFill="text2" w:themeFillTint="33"/>
            <w:vAlign w:val="center"/>
            <w:hideMark/>
          </w:tcPr>
          <w:p w:rsidR="005C0768" w:rsidRPr="00412A30" w:rsidRDefault="005C0768" w:rsidP="006002EA">
            <w:pPr>
              <w:autoSpaceDE w:val="0"/>
              <w:autoSpaceDN w:val="0"/>
              <w:adjustRightInd w:val="0"/>
              <w:jc w:val="center"/>
              <w:rPr>
                <w:b/>
                <w:color w:val="000000"/>
              </w:rPr>
            </w:pPr>
            <w:r w:rsidRPr="00412A30">
              <w:rPr>
                <w:b/>
                <w:color w:val="000000"/>
              </w:rPr>
              <w:t>Pollutant</w:t>
            </w:r>
          </w:p>
        </w:tc>
        <w:tc>
          <w:tcPr>
            <w:tcW w:w="2640" w:type="dxa"/>
            <w:tcBorders>
              <w:top w:val="single" w:sz="12" w:space="0" w:color="000000"/>
              <w:left w:val="single" w:sz="4" w:space="0" w:color="auto"/>
              <w:bottom w:val="single" w:sz="12" w:space="0" w:color="000000"/>
              <w:right w:val="double" w:sz="4" w:space="0" w:color="auto"/>
            </w:tcBorders>
            <w:shd w:val="clear" w:color="auto" w:fill="C6D9F1" w:themeFill="text2" w:themeFillTint="33"/>
            <w:vAlign w:val="center"/>
            <w:hideMark/>
          </w:tcPr>
          <w:p w:rsidR="005C0768" w:rsidRPr="00412A30" w:rsidRDefault="005C0768" w:rsidP="006002EA">
            <w:pPr>
              <w:autoSpaceDE w:val="0"/>
              <w:autoSpaceDN w:val="0"/>
              <w:adjustRightInd w:val="0"/>
              <w:jc w:val="center"/>
              <w:rPr>
                <w:b/>
                <w:color w:val="000000"/>
              </w:rPr>
            </w:pPr>
            <w:r w:rsidRPr="00412A30">
              <w:rPr>
                <w:b/>
                <w:color w:val="000000"/>
              </w:rPr>
              <w:t>SER (TPY)</w:t>
            </w:r>
          </w:p>
        </w:tc>
        <w:tc>
          <w:tcPr>
            <w:tcW w:w="2160" w:type="dxa"/>
            <w:tcBorders>
              <w:top w:val="single" w:sz="12" w:space="0" w:color="000000"/>
              <w:left w:val="double" w:sz="4" w:space="0" w:color="auto"/>
              <w:bottom w:val="single" w:sz="12" w:space="0" w:color="000000"/>
              <w:right w:val="single" w:sz="4" w:space="0" w:color="auto"/>
            </w:tcBorders>
            <w:shd w:val="clear" w:color="auto" w:fill="C6D9F1" w:themeFill="text2" w:themeFillTint="33"/>
            <w:vAlign w:val="center"/>
            <w:hideMark/>
          </w:tcPr>
          <w:p w:rsidR="005C0768" w:rsidRPr="00412A30" w:rsidRDefault="005C0768" w:rsidP="006002EA">
            <w:pPr>
              <w:autoSpaceDE w:val="0"/>
              <w:autoSpaceDN w:val="0"/>
              <w:adjustRightInd w:val="0"/>
              <w:jc w:val="center"/>
              <w:rPr>
                <w:b/>
                <w:color w:val="000000"/>
              </w:rPr>
            </w:pPr>
            <w:r w:rsidRPr="00412A30">
              <w:rPr>
                <w:b/>
                <w:color w:val="000000"/>
              </w:rPr>
              <w:t>Pollutant</w:t>
            </w:r>
          </w:p>
        </w:tc>
        <w:tc>
          <w:tcPr>
            <w:tcW w:w="2280" w:type="dxa"/>
            <w:tcBorders>
              <w:top w:val="single" w:sz="12" w:space="0" w:color="000000"/>
              <w:left w:val="single" w:sz="4" w:space="0" w:color="auto"/>
              <w:bottom w:val="single" w:sz="12" w:space="0" w:color="000000"/>
              <w:right w:val="single" w:sz="12" w:space="0" w:color="000000"/>
            </w:tcBorders>
            <w:shd w:val="clear" w:color="auto" w:fill="C6D9F1" w:themeFill="text2" w:themeFillTint="33"/>
            <w:vAlign w:val="center"/>
            <w:hideMark/>
          </w:tcPr>
          <w:p w:rsidR="005C0768" w:rsidRPr="00412A30" w:rsidRDefault="005C0768" w:rsidP="006002EA">
            <w:pPr>
              <w:autoSpaceDE w:val="0"/>
              <w:autoSpaceDN w:val="0"/>
              <w:adjustRightInd w:val="0"/>
              <w:jc w:val="center"/>
              <w:rPr>
                <w:b/>
                <w:color w:val="000000"/>
              </w:rPr>
            </w:pPr>
            <w:r w:rsidRPr="00412A30">
              <w:rPr>
                <w:b/>
                <w:color w:val="000000"/>
              </w:rPr>
              <w:t>SER (TPY)</w:t>
            </w:r>
          </w:p>
        </w:tc>
      </w:tr>
      <w:tr w:rsidR="005C0768" w:rsidRPr="005C0768" w:rsidTr="00412A30">
        <w:trPr>
          <w:trHeight w:val="264"/>
        </w:trPr>
        <w:tc>
          <w:tcPr>
            <w:tcW w:w="2280" w:type="dxa"/>
            <w:tcBorders>
              <w:top w:val="single" w:sz="12"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CO </w:t>
            </w:r>
          </w:p>
        </w:tc>
        <w:tc>
          <w:tcPr>
            <w:tcW w:w="2640" w:type="dxa"/>
            <w:tcBorders>
              <w:top w:val="single" w:sz="12"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100</w:t>
            </w:r>
          </w:p>
        </w:tc>
        <w:tc>
          <w:tcPr>
            <w:tcW w:w="2160" w:type="dxa"/>
            <w:tcBorders>
              <w:top w:val="single" w:sz="12" w:space="0" w:color="000000"/>
              <w:left w:val="doub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NO</w:t>
            </w:r>
            <w:r w:rsidRPr="00D95CA8">
              <w:rPr>
                <w:color w:val="000000"/>
                <w:sz w:val="22"/>
                <w:szCs w:val="22"/>
                <w:vertAlign w:val="subscript"/>
              </w:rPr>
              <w:t>X</w:t>
            </w:r>
            <w:r w:rsidRPr="005C0768">
              <w:rPr>
                <w:color w:val="000000"/>
              </w:rPr>
              <w:t xml:space="preserve"> </w:t>
            </w:r>
          </w:p>
        </w:tc>
        <w:tc>
          <w:tcPr>
            <w:tcW w:w="2280" w:type="dxa"/>
            <w:tcBorders>
              <w:top w:val="single" w:sz="12"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40</w:t>
            </w:r>
          </w:p>
        </w:tc>
      </w:tr>
      <w:tr w:rsidR="005C0768" w:rsidRPr="005C0768" w:rsidTr="00412A30">
        <w:trPr>
          <w:trHeight w:val="264"/>
        </w:trPr>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ED0578">
            <w:pPr>
              <w:autoSpaceDE w:val="0"/>
              <w:autoSpaceDN w:val="0"/>
              <w:adjustRightInd w:val="0"/>
              <w:rPr>
                <w:color w:val="000000"/>
              </w:rPr>
            </w:pPr>
            <w:r w:rsidRPr="005C0768">
              <w:rPr>
                <w:color w:val="000000"/>
              </w:rPr>
              <w:t>PM/PM</w:t>
            </w:r>
            <w:r w:rsidR="00EC1565" w:rsidRPr="00D95CA8">
              <w:rPr>
                <w:sz w:val="22"/>
                <w:szCs w:val="22"/>
                <w:vertAlign w:val="subscript"/>
              </w:rPr>
              <w:t>10</w:t>
            </w:r>
            <w:r w:rsidR="00ED0578">
              <w:rPr>
                <w:color w:val="000000"/>
              </w:rPr>
              <w:t>/PM</w:t>
            </w:r>
            <w:r w:rsidR="00ED0578" w:rsidRPr="00ED0578">
              <w:rPr>
                <w:color w:val="000000"/>
                <w:vertAlign w:val="subscript"/>
              </w:rPr>
              <w:t>2.5</w:t>
            </w:r>
          </w:p>
        </w:tc>
        <w:tc>
          <w:tcPr>
            <w:tcW w:w="2640" w:type="dxa"/>
            <w:tcBorders>
              <w:top w:val="single" w:sz="6"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25/15</w:t>
            </w:r>
            <w:r w:rsidR="00ED0578">
              <w:rPr>
                <w:color w:val="000000"/>
              </w:rPr>
              <w:t>/10</w:t>
            </w:r>
          </w:p>
        </w:tc>
        <w:tc>
          <w:tcPr>
            <w:tcW w:w="2160" w:type="dxa"/>
            <w:tcBorders>
              <w:top w:val="single" w:sz="6" w:space="0" w:color="000000"/>
              <w:left w:val="double" w:sz="12" w:space="0" w:color="auto"/>
              <w:bottom w:val="single" w:sz="6" w:space="0" w:color="000000"/>
              <w:right w:val="single" w:sz="12" w:space="0" w:color="auto"/>
            </w:tcBorders>
            <w:vAlign w:val="center"/>
            <w:hideMark/>
          </w:tcPr>
          <w:p w:rsidR="005C0768" w:rsidRPr="005C0768" w:rsidRDefault="005C0768" w:rsidP="00ED0578">
            <w:pPr>
              <w:autoSpaceDE w:val="0"/>
              <w:autoSpaceDN w:val="0"/>
              <w:adjustRightInd w:val="0"/>
              <w:rPr>
                <w:color w:val="000000"/>
              </w:rPr>
            </w:pPr>
            <w:r w:rsidRPr="005C0768">
              <w:rPr>
                <w:color w:val="000000"/>
              </w:rPr>
              <w:t xml:space="preserve">Ozone (VOC) </w:t>
            </w:r>
            <w:r w:rsidR="00ED0578">
              <w:rPr>
                <w:b/>
                <w:color w:val="000000"/>
                <w:vertAlign w:val="superscript"/>
              </w:rPr>
              <w:t>2</w:t>
            </w:r>
          </w:p>
        </w:tc>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40</w:t>
            </w:r>
          </w:p>
        </w:tc>
      </w:tr>
      <w:tr w:rsidR="005C0768" w:rsidRPr="005C0768" w:rsidTr="00412A30">
        <w:trPr>
          <w:trHeight w:val="246"/>
        </w:trPr>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ED0578">
            <w:pPr>
              <w:autoSpaceDE w:val="0"/>
              <w:autoSpaceDN w:val="0"/>
              <w:adjustRightInd w:val="0"/>
              <w:rPr>
                <w:color w:val="000000"/>
              </w:rPr>
            </w:pPr>
            <w:r w:rsidRPr="005C0768">
              <w:rPr>
                <w:color w:val="000000"/>
              </w:rPr>
              <w:t>Ozone (NO</w:t>
            </w:r>
            <w:r w:rsidR="00EC1565" w:rsidRPr="00D95CA8">
              <w:rPr>
                <w:sz w:val="22"/>
                <w:szCs w:val="22"/>
                <w:vertAlign w:val="subscript"/>
              </w:rPr>
              <w:t>X</w:t>
            </w:r>
            <w:r w:rsidRPr="005C0768">
              <w:rPr>
                <w:color w:val="000000"/>
              </w:rPr>
              <w:t xml:space="preserve">) </w:t>
            </w:r>
            <w:r w:rsidR="00ED0578">
              <w:rPr>
                <w:b/>
                <w:color w:val="000000"/>
                <w:vertAlign w:val="superscript"/>
              </w:rPr>
              <w:t>2</w:t>
            </w:r>
          </w:p>
        </w:tc>
        <w:tc>
          <w:tcPr>
            <w:tcW w:w="2640" w:type="dxa"/>
            <w:tcBorders>
              <w:top w:val="single" w:sz="6"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40</w:t>
            </w:r>
          </w:p>
        </w:tc>
        <w:tc>
          <w:tcPr>
            <w:tcW w:w="2160" w:type="dxa"/>
            <w:tcBorders>
              <w:top w:val="single" w:sz="6" w:space="0" w:color="000000"/>
              <w:left w:val="doub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SAM </w:t>
            </w:r>
          </w:p>
        </w:tc>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7</w:t>
            </w:r>
          </w:p>
        </w:tc>
      </w:tr>
      <w:tr w:rsidR="005C0768" w:rsidRPr="005C0768" w:rsidTr="00412A30">
        <w:trPr>
          <w:trHeight w:val="255"/>
        </w:trPr>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SO</w:t>
            </w:r>
            <w:r w:rsidR="00EC1565" w:rsidRPr="00D95CA8">
              <w:rPr>
                <w:color w:val="000000"/>
                <w:sz w:val="22"/>
                <w:szCs w:val="22"/>
                <w:vertAlign w:val="subscript"/>
              </w:rPr>
              <w:t>2</w:t>
            </w:r>
            <w:r w:rsidRPr="005C0768">
              <w:rPr>
                <w:color w:val="000000"/>
              </w:rPr>
              <w:t xml:space="preserve"> </w:t>
            </w:r>
          </w:p>
        </w:tc>
        <w:tc>
          <w:tcPr>
            <w:tcW w:w="2640" w:type="dxa"/>
            <w:tcBorders>
              <w:top w:val="single" w:sz="6"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40</w:t>
            </w:r>
          </w:p>
        </w:tc>
        <w:tc>
          <w:tcPr>
            <w:tcW w:w="2160" w:type="dxa"/>
            <w:tcBorders>
              <w:top w:val="single" w:sz="6" w:space="0" w:color="000000"/>
              <w:left w:val="doub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F </w:t>
            </w:r>
          </w:p>
        </w:tc>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3</w:t>
            </w:r>
          </w:p>
        </w:tc>
      </w:tr>
      <w:tr w:rsidR="005C0768" w:rsidRPr="005C0768" w:rsidTr="00412A30">
        <w:trPr>
          <w:trHeight w:val="255"/>
        </w:trPr>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Pb </w:t>
            </w:r>
          </w:p>
        </w:tc>
        <w:tc>
          <w:tcPr>
            <w:tcW w:w="2640" w:type="dxa"/>
            <w:tcBorders>
              <w:top w:val="single" w:sz="6" w:space="0" w:color="000000"/>
              <w:left w:val="single" w:sz="12" w:space="0" w:color="auto"/>
              <w:bottom w:val="single" w:sz="6"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0.6</w:t>
            </w:r>
          </w:p>
        </w:tc>
        <w:tc>
          <w:tcPr>
            <w:tcW w:w="2160" w:type="dxa"/>
            <w:tcBorders>
              <w:top w:val="single" w:sz="6" w:space="0" w:color="000000"/>
              <w:left w:val="doub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 xml:space="preserve">TRS </w:t>
            </w:r>
          </w:p>
        </w:tc>
        <w:tc>
          <w:tcPr>
            <w:tcW w:w="2280" w:type="dxa"/>
            <w:tcBorders>
              <w:top w:val="single" w:sz="6" w:space="0" w:color="000000"/>
              <w:left w:val="single" w:sz="12" w:space="0" w:color="auto"/>
              <w:bottom w:val="single" w:sz="6"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10</w:t>
            </w:r>
          </w:p>
        </w:tc>
      </w:tr>
      <w:tr w:rsidR="005C0768" w:rsidRPr="005C0768" w:rsidTr="00412A30">
        <w:trPr>
          <w:trHeight w:val="255"/>
        </w:trPr>
        <w:tc>
          <w:tcPr>
            <w:tcW w:w="2280" w:type="dxa"/>
            <w:tcBorders>
              <w:top w:val="single" w:sz="6" w:space="0" w:color="000000"/>
              <w:left w:val="single" w:sz="12" w:space="0" w:color="auto"/>
              <w:bottom w:val="single" w:sz="12"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H</w:t>
            </w:r>
            <w:r w:rsidRPr="00D95CA8">
              <w:rPr>
                <w:color w:val="000000"/>
                <w:sz w:val="22"/>
                <w:szCs w:val="22"/>
                <w:vertAlign w:val="subscript"/>
              </w:rPr>
              <w:t>2</w:t>
            </w:r>
            <w:r w:rsidRPr="005C0768">
              <w:rPr>
                <w:color w:val="000000"/>
              </w:rPr>
              <w:t xml:space="preserve">S </w:t>
            </w:r>
          </w:p>
        </w:tc>
        <w:tc>
          <w:tcPr>
            <w:tcW w:w="2640" w:type="dxa"/>
            <w:tcBorders>
              <w:top w:val="single" w:sz="6" w:space="0" w:color="000000"/>
              <w:left w:val="single" w:sz="12" w:space="0" w:color="auto"/>
              <w:bottom w:val="single" w:sz="12" w:space="0" w:color="000000"/>
              <w:right w:val="doub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10</w:t>
            </w:r>
          </w:p>
        </w:tc>
        <w:tc>
          <w:tcPr>
            <w:tcW w:w="2160" w:type="dxa"/>
            <w:tcBorders>
              <w:top w:val="single" w:sz="6" w:space="0" w:color="000000"/>
              <w:left w:val="double" w:sz="12" w:space="0" w:color="auto"/>
              <w:bottom w:val="single" w:sz="12" w:space="0" w:color="000000"/>
              <w:right w:val="single" w:sz="12" w:space="0" w:color="auto"/>
            </w:tcBorders>
            <w:vAlign w:val="center"/>
            <w:hideMark/>
          </w:tcPr>
          <w:p w:rsidR="005C0768" w:rsidRPr="005C0768" w:rsidRDefault="005C0768" w:rsidP="005C0768">
            <w:pPr>
              <w:autoSpaceDE w:val="0"/>
              <w:autoSpaceDN w:val="0"/>
              <w:adjustRightInd w:val="0"/>
              <w:rPr>
                <w:color w:val="000000"/>
              </w:rPr>
            </w:pPr>
            <w:r w:rsidRPr="005C0768">
              <w:rPr>
                <w:color w:val="000000"/>
              </w:rPr>
              <w:t>Hg</w:t>
            </w:r>
          </w:p>
        </w:tc>
        <w:tc>
          <w:tcPr>
            <w:tcW w:w="2280" w:type="dxa"/>
            <w:tcBorders>
              <w:top w:val="single" w:sz="6" w:space="0" w:color="000000"/>
              <w:left w:val="single" w:sz="12" w:space="0" w:color="auto"/>
              <w:bottom w:val="single" w:sz="12" w:space="0" w:color="000000"/>
              <w:right w:val="single" w:sz="12" w:space="0" w:color="auto"/>
            </w:tcBorders>
            <w:vAlign w:val="center"/>
            <w:hideMark/>
          </w:tcPr>
          <w:p w:rsidR="005C0768" w:rsidRPr="005C0768" w:rsidRDefault="005C0768" w:rsidP="005C0768">
            <w:pPr>
              <w:autoSpaceDE w:val="0"/>
              <w:autoSpaceDN w:val="0"/>
              <w:adjustRightInd w:val="0"/>
              <w:jc w:val="center"/>
              <w:rPr>
                <w:color w:val="000000"/>
              </w:rPr>
            </w:pPr>
            <w:r w:rsidRPr="005C0768">
              <w:rPr>
                <w:color w:val="000000"/>
              </w:rPr>
              <w:t xml:space="preserve">0.1 </w:t>
            </w:r>
          </w:p>
        </w:tc>
      </w:tr>
      <w:tr w:rsidR="005C0768" w:rsidRPr="005C0768" w:rsidTr="00412A30">
        <w:trPr>
          <w:trHeight w:val="311"/>
        </w:trPr>
        <w:tc>
          <w:tcPr>
            <w:tcW w:w="9360" w:type="dxa"/>
            <w:gridSpan w:val="4"/>
            <w:tcBorders>
              <w:top w:val="single" w:sz="12" w:space="0" w:color="000000"/>
              <w:left w:val="single" w:sz="12" w:space="0" w:color="000000"/>
              <w:bottom w:val="single" w:sz="12" w:space="0" w:color="000000"/>
              <w:right w:val="single" w:sz="12" w:space="0" w:color="000000"/>
            </w:tcBorders>
            <w:hideMark/>
          </w:tcPr>
          <w:p w:rsidR="005C0768" w:rsidRPr="005C0768" w:rsidRDefault="005C0768" w:rsidP="00511785">
            <w:pPr>
              <w:numPr>
                <w:ilvl w:val="0"/>
                <w:numId w:val="2"/>
              </w:numPr>
              <w:tabs>
                <w:tab w:val="clear" w:pos="1080"/>
                <w:tab w:val="num" w:pos="342"/>
              </w:tabs>
              <w:autoSpaceDE w:val="0"/>
              <w:autoSpaceDN w:val="0"/>
              <w:adjustRightInd w:val="0"/>
              <w:spacing w:before="20"/>
              <w:ind w:left="342" w:hanging="328"/>
              <w:rPr>
                <w:color w:val="000000"/>
                <w:sz w:val="16"/>
                <w:szCs w:val="16"/>
              </w:rPr>
            </w:pPr>
            <w:r w:rsidRPr="005C0768">
              <w:rPr>
                <w:color w:val="000000"/>
                <w:sz w:val="16"/>
                <w:szCs w:val="16"/>
              </w:rPr>
              <w:t>Excluding those defined exclusively for MWC and MSW landfills.</w:t>
            </w:r>
          </w:p>
          <w:p w:rsidR="005C0768" w:rsidRPr="005C0768" w:rsidRDefault="005C0768" w:rsidP="00511785">
            <w:pPr>
              <w:numPr>
                <w:ilvl w:val="0"/>
                <w:numId w:val="2"/>
              </w:numPr>
              <w:tabs>
                <w:tab w:val="clear" w:pos="1080"/>
                <w:tab w:val="num" w:pos="342"/>
              </w:tabs>
              <w:autoSpaceDE w:val="0"/>
              <w:autoSpaceDN w:val="0"/>
              <w:adjustRightInd w:val="0"/>
              <w:ind w:left="342" w:hanging="328"/>
              <w:rPr>
                <w:color w:val="000000"/>
                <w:sz w:val="16"/>
                <w:szCs w:val="16"/>
              </w:rPr>
            </w:pPr>
            <w:r w:rsidRPr="005C0768">
              <w:rPr>
                <w:color w:val="000000"/>
                <w:sz w:val="16"/>
                <w:szCs w:val="16"/>
              </w:rPr>
              <w:t>Ozone (O</w:t>
            </w:r>
            <w:r w:rsidR="00A90686" w:rsidRPr="00D95CA8">
              <w:rPr>
                <w:color w:val="000000"/>
                <w:sz w:val="16"/>
                <w:szCs w:val="16"/>
                <w:vertAlign w:val="subscript"/>
              </w:rPr>
              <w:t>3</w:t>
            </w:r>
            <w:r w:rsidRPr="005C0768">
              <w:rPr>
                <w:color w:val="000000"/>
                <w:sz w:val="16"/>
                <w:szCs w:val="16"/>
              </w:rPr>
              <w:t>) is regulated by its precursors (VOC and NO</w:t>
            </w:r>
            <w:r w:rsidR="00A90686" w:rsidRPr="00A90686">
              <w:rPr>
                <w:color w:val="000000"/>
                <w:sz w:val="16"/>
                <w:szCs w:val="16"/>
                <w:vertAlign w:val="subscript"/>
              </w:rPr>
              <w:t>X</w:t>
            </w:r>
            <w:r w:rsidRPr="005C0768">
              <w:rPr>
                <w:color w:val="000000"/>
                <w:sz w:val="16"/>
                <w:szCs w:val="16"/>
              </w:rPr>
              <w:t>).</w:t>
            </w:r>
          </w:p>
          <w:p w:rsidR="005C0768" w:rsidRPr="005C0768" w:rsidRDefault="005C0768" w:rsidP="00511785">
            <w:pPr>
              <w:numPr>
                <w:ilvl w:val="0"/>
                <w:numId w:val="2"/>
              </w:numPr>
              <w:tabs>
                <w:tab w:val="clear" w:pos="1080"/>
                <w:tab w:val="num" w:pos="342"/>
              </w:tabs>
              <w:autoSpaceDE w:val="0"/>
              <w:autoSpaceDN w:val="0"/>
              <w:adjustRightInd w:val="0"/>
              <w:spacing w:after="20"/>
              <w:ind w:left="342" w:hanging="328"/>
              <w:rPr>
                <w:color w:val="000000"/>
                <w:sz w:val="16"/>
                <w:szCs w:val="16"/>
              </w:rPr>
            </w:pPr>
            <w:r w:rsidRPr="005C0768">
              <w:rPr>
                <w:color w:val="000000"/>
                <w:sz w:val="16"/>
                <w:szCs w:val="16"/>
              </w:rPr>
              <w:t>There is a federal SER of 75,000 TPY for Greenhouse Gases (GHG) as CO</w:t>
            </w:r>
            <w:r w:rsidR="00A90686" w:rsidRPr="00D95CA8">
              <w:rPr>
                <w:color w:val="000000"/>
                <w:sz w:val="16"/>
                <w:szCs w:val="16"/>
                <w:vertAlign w:val="subscript"/>
              </w:rPr>
              <w:t>2</w:t>
            </w:r>
            <w:r w:rsidRPr="005C0768">
              <w:rPr>
                <w:color w:val="000000"/>
                <w:sz w:val="16"/>
                <w:szCs w:val="16"/>
              </w:rPr>
              <w:t xml:space="preserve"> equivalent (CO</w:t>
            </w:r>
            <w:r w:rsidR="00A90686" w:rsidRPr="00A90686">
              <w:rPr>
                <w:color w:val="000000"/>
                <w:sz w:val="16"/>
                <w:szCs w:val="16"/>
                <w:vertAlign w:val="subscript"/>
              </w:rPr>
              <w:t>2</w:t>
            </w:r>
            <w:r w:rsidRPr="005C0768">
              <w:rPr>
                <w:color w:val="000000"/>
                <w:sz w:val="14"/>
                <w:szCs w:val="16"/>
              </w:rPr>
              <w:t>e</w:t>
            </w:r>
            <w:r w:rsidRPr="005C0768">
              <w:rPr>
                <w:color w:val="000000"/>
                <w:sz w:val="16"/>
                <w:szCs w:val="16"/>
              </w:rPr>
              <w:t>) that has not been incorporated into Department rules.  .</w:t>
            </w:r>
          </w:p>
        </w:tc>
      </w:tr>
    </w:tbl>
    <w:p w:rsidR="00193F10" w:rsidRPr="002C66F8" w:rsidRDefault="004702CC" w:rsidP="00C90E60">
      <w:pPr>
        <w:pStyle w:val="ListParagraph"/>
        <w:numPr>
          <w:ilvl w:val="0"/>
          <w:numId w:val="51"/>
        </w:numPr>
        <w:spacing w:before="120" w:after="120"/>
        <w:ind w:hanging="720"/>
        <w:contextualSpacing w:val="0"/>
        <w:rPr>
          <w:rFonts w:ascii="Times New Roman" w:hAnsi="Times New Roman" w:cs="Times New Roman"/>
          <w:b/>
          <w:caps/>
        </w:rPr>
      </w:pPr>
      <w:r>
        <w:rPr>
          <w:rFonts w:ascii="Times New Roman" w:hAnsi="Times New Roman" w:cs="Times New Roman"/>
          <w:b/>
        </w:rPr>
        <w:t xml:space="preserve">Applicants’ </w:t>
      </w:r>
      <w:r w:rsidR="00193F10" w:rsidRPr="002C66F8">
        <w:rPr>
          <w:rFonts w:ascii="Times New Roman" w:hAnsi="Times New Roman" w:cs="Times New Roman"/>
          <w:b/>
        </w:rPr>
        <w:t xml:space="preserve">PSD Applicability </w:t>
      </w:r>
      <w:r>
        <w:rPr>
          <w:rFonts w:ascii="Times New Roman" w:hAnsi="Times New Roman" w:cs="Times New Roman"/>
          <w:b/>
        </w:rPr>
        <w:t xml:space="preserve">Analysis </w:t>
      </w:r>
      <w:r w:rsidR="00193F10" w:rsidRPr="002C66F8">
        <w:rPr>
          <w:rFonts w:ascii="Times New Roman" w:hAnsi="Times New Roman" w:cs="Times New Roman"/>
          <w:b/>
        </w:rPr>
        <w:t xml:space="preserve">for </w:t>
      </w:r>
      <w:r w:rsidR="002C66F8" w:rsidRPr="002C66F8">
        <w:rPr>
          <w:rFonts w:ascii="Times New Roman" w:hAnsi="Times New Roman" w:cs="Times New Roman"/>
          <w:b/>
        </w:rPr>
        <w:t xml:space="preserve">the </w:t>
      </w:r>
      <w:r w:rsidR="00193F10" w:rsidRPr="002C66F8">
        <w:rPr>
          <w:rFonts w:ascii="Times New Roman" w:hAnsi="Times New Roman" w:cs="Times New Roman"/>
          <w:b/>
        </w:rPr>
        <w:t>Project</w:t>
      </w:r>
    </w:p>
    <w:p w:rsidR="003C0403" w:rsidRDefault="006002EA" w:rsidP="003C0403">
      <w:pPr>
        <w:spacing w:after="120"/>
        <w:rPr>
          <w:sz w:val="22"/>
          <w:szCs w:val="22"/>
        </w:rPr>
      </w:pPr>
      <w:r>
        <w:rPr>
          <w:sz w:val="22"/>
          <w:szCs w:val="22"/>
        </w:rPr>
        <w:t>The</w:t>
      </w:r>
      <w:r w:rsidR="008B1DC5" w:rsidRPr="003C0403">
        <w:rPr>
          <w:sz w:val="22"/>
          <w:szCs w:val="22"/>
        </w:rPr>
        <w:t xml:space="preserve"> project will be located in Polk County, which is in an area that is currently in attainment with (or designated as unclassifiable for the state and federal AAQS</w:t>
      </w:r>
      <w:r>
        <w:rPr>
          <w:sz w:val="22"/>
          <w:szCs w:val="22"/>
        </w:rPr>
        <w:t xml:space="preserve">.  </w:t>
      </w:r>
      <w:r w:rsidR="00F0411A">
        <w:rPr>
          <w:sz w:val="22"/>
          <w:szCs w:val="22"/>
        </w:rPr>
        <w:t xml:space="preserve">According to the applicant, no emission </w:t>
      </w:r>
      <w:r w:rsidR="00F0411A">
        <w:rPr>
          <w:sz w:val="22"/>
          <w:szCs w:val="22"/>
        </w:rPr>
        <w:lastRenderedPageBreak/>
        <w:t xml:space="preserve">increase </w:t>
      </w:r>
      <w:r w:rsidR="00DE2330">
        <w:rPr>
          <w:sz w:val="22"/>
          <w:szCs w:val="22"/>
        </w:rPr>
        <w:t xml:space="preserve">of any regulated </w:t>
      </w:r>
      <w:r w:rsidR="00ED0C48">
        <w:rPr>
          <w:sz w:val="22"/>
          <w:szCs w:val="22"/>
        </w:rPr>
        <w:t xml:space="preserve">pollutant </w:t>
      </w:r>
      <w:r w:rsidR="00F0411A">
        <w:rPr>
          <w:sz w:val="22"/>
          <w:szCs w:val="22"/>
        </w:rPr>
        <w:t>will result from the proposed project.</w:t>
      </w:r>
      <w:r w:rsidR="00852555" w:rsidRPr="003C0403">
        <w:rPr>
          <w:sz w:val="22"/>
          <w:szCs w:val="22"/>
        </w:rPr>
        <w:t xml:space="preserve"> </w:t>
      </w:r>
      <w:r w:rsidR="00F0411A">
        <w:rPr>
          <w:sz w:val="22"/>
          <w:szCs w:val="22"/>
        </w:rPr>
        <w:t xml:space="preserve"> T</w:t>
      </w:r>
      <w:r w:rsidR="003C0403" w:rsidRPr="003C0403">
        <w:rPr>
          <w:sz w:val="22"/>
          <w:szCs w:val="22"/>
        </w:rPr>
        <w:t>herefore, the project is not subject to PSD preconstruction review.</w:t>
      </w:r>
    </w:p>
    <w:p w:rsidR="004702CC" w:rsidRPr="004E2AC7" w:rsidRDefault="004E2AC7" w:rsidP="004E2AC7">
      <w:pPr>
        <w:pStyle w:val="ListParagraph"/>
        <w:numPr>
          <w:ilvl w:val="0"/>
          <w:numId w:val="60"/>
        </w:numPr>
        <w:spacing w:before="120" w:after="120"/>
        <w:ind w:hanging="720"/>
        <w:contextualSpacing w:val="0"/>
        <w:rPr>
          <w:rFonts w:ascii="Times New Roman" w:hAnsi="Times New Roman" w:cs="Times New Roman"/>
          <w:b/>
          <w:caps/>
        </w:rPr>
      </w:pPr>
      <w:r>
        <w:rPr>
          <w:rFonts w:ascii="Times New Roman" w:hAnsi="Times New Roman" w:cs="Times New Roman"/>
          <w:b/>
        </w:rPr>
        <w:t xml:space="preserve">Departments’ </w:t>
      </w:r>
      <w:r w:rsidRPr="002C66F8">
        <w:rPr>
          <w:rFonts w:ascii="Times New Roman" w:hAnsi="Times New Roman" w:cs="Times New Roman"/>
          <w:b/>
        </w:rPr>
        <w:t xml:space="preserve">PSD Applicability </w:t>
      </w:r>
      <w:r>
        <w:rPr>
          <w:rFonts w:ascii="Times New Roman" w:hAnsi="Times New Roman" w:cs="Times New Roman"/>
          <w:b/>
        </w:rPr>
        <w:t xml:space="preserve">Analysis </w:t>
      </w:r>
      <w:r w:rsidRPr="002C66F8">
        <w:rPr>
          <w:rFonts w:ascii="Times New Roman" w:hAnsi="Times New Roman" w:cs="Times New Roman"/>
          <w:b/>
        </w:rPr>
        <w:t>for the Project</w:t>
      </w:r>
    </w:p>
    <w:p w:rsidR="004E2AC7" w:rsidRDefault="004E2AC7" w:rsidP="00FD78D6">
      <w:pPr>
        <w:spacing w:after="120"/>
        <w:rPr>
          <w:sz w:val="22"/>
          <w:szCs w:val="22"/>
        </w:rPr>
      </w:pPr>
      <w:r w:rsidRPr="00FD78D6">
        <w:rPr>
          <w:sz w:val="22"/>
          <w:szCs w:val="22"/>
        </w:rPr>
        <w:t xml:space="preserve">The Department agrees with the applicant that no emission increases of </w:t>
      </w:r>
      <w:r w:rsidR="00ED0C48">
        <w:rPr>
          <w:sz w:val="22"/>
          <w:szCs w:val="22"/>
        </w:rPr>
        <w:t xml:space="preserve">a </w:t>
      </w:r>
      <w:r w:rsidRPr="00FD78D6">
        <w:rPr>
          <w:sz w:val="22"/>
          <w:szCs w:val="22"/>
        </w:rPr>
        <w:t xml:space="preserve">regulated air pollutant will result from this project.  The VE testing requirements contained in </w:t>
      </w:r>
      <w:r w:rsidR="00FD78D6" w:rsidRPr="00FD78D6">
        <w:rPr>
          <w:sz w:val="22"/>
          <w:szCs w:val="22"/>
        </w:rPr>
        <w:t xml:space="preserve">Permit No. 1050233-029-AC (PSD-FL-194J) related to EU 005 will be removed.  The Department believes that </w:t>
      </w:r>
      <w:r w:rsidR="00FD78D6" w:rsidRPr="00FD78D6">
        <w:rPr>
          <w:b/>
          <w:sz w:val="22"/>
          <w:szCs w:val="22"/>
        </w:rPr>
        <w:t xml:space="preserve">Specific Condition 9 of Section 2 – Administrative </w:t>
      </w:r>
      <w:r w:rsidR="00FD78D6">
        <w:rPr>
          <w:b/>
          <w:sz w:val="22"/>
          <w:szCs w:val="22"/>
        </w:rPr>
        <w:t>R</w:t>
      </w:r>
      <w:r w:rsidR="00FD78D6" w:rsidRPr="00FD78D6">
        <w:rPr>
          <w:b/>
          <w:sz w:val="22"/>
          <w:szCs w:val="22"/>
        </w:rPr>
        <w:t>equirements</w:t>
      </w:r>
      <w:r w:rsidR="00CF3B91">
        <w:rPr>
          <w:b/>
          <w:sz w:val="22"/>
          <w:szCs w:val="22"/>
        </w:rPr>
        <w:t xml:space="preserve">, </w:t>
      </w:r>
      <w:r w:rsidR="00CF3B91" w:rsidRPr="00CF3B91">
        <w:rPr>
          <w:b/>
          <w:sz w:val="22"/>
          <w:szCs w:val="22"/>
        </w:rPr>
        <w:t>Unconfined Emissions of Particulate Matter</w:t>
      </w:r>
      <w:r w:rsidR="00ED0C48">
        <w:rPr>
          <w:b/>
          <w:sz w:val="22"/>
          <w:szCs w:val="22"/>
        </w:rPr>
        <w:t xml:space="preserve"> </w:t>
      </w:r>
      <w:r w:rsidR="00ED0C48" w:rsidRPr="00ED0C48">
        <w:rPr>
          <w:sz w:val="22"/>
          <w:szCs w:val="22"/>
        </w:rPr>
        <w:t>of the revised construction permit (No. 1050233-035-AC, PSF-FL-194K) will suffice</w:t>
      </w:r>
      <w:r w:rsidR="00ED0C48">
        <w:rPr>
          <w:sz w:val="22"/>
          <w:szCs w:val="22"/>
        </w:rPr>
        <w:t xml:space="preserve"> to minimize VE</w:t>
      </w:r>
      <w:r w:rsidR="00A41FEA">
        <w:rPr>
          <w:sz w:val="22"/>
          <w:szCs w:val="22"/>
        </w:rPr>
        <w:t xml:space="preserve"> from EU 005 and</w:t>
      </w:r>
      <w:r w:rsidR="00ED0C48">
        <w:rPr>
          <w:sz w:val="22"/>
          <w:szCs w:val="22"/>
        </w:rPr>
        <w:t xml:space="preserve"> thus annual VE testing</w:t>
      </w:r>
      <w:r w:rsidR="00A41FEA">
        <w:rPr>
          <w:sz w:val="22"/>
          <w:szCs w:val="22"/>
        </w:rPr>
        <w:t xml:space="preserve"> of this emission unit is not required</w:t>
      </w:r>
      <w:r w:rsidR="00ED0C48" w:rsidRPr="00ED0C48">
        <w:rPr>
          <w:sz w:val="22"/>
          <w:szCs w:val="22"/>
        </w:rPr>
        <w:t xml:space="preserve">.  </w:t>
      </w:r>
      <w:r w:rsidR="00B26111" w:rsidRPr="00B26111">
        <w:rPr>
          <w:b/>
          <w:sz w:val="22"/>
          <w:szCs w:val="22"/>
        </w:rPr>
        <w:t>Specific C</w:t>
      </w:r>
      <w:r w:rsidR="00ED0C48" w:rsidRPr="00B26111">
        <w:rPr>
          <w:b/>
          <w:sz w:val="22"/>
          <w:szCs w:val="22"/>
        </w:rPr>
        <w:t>ondition</w:t>
      </w:r>
      <w:r w:rsidR="00CB7426" w:rsidRPr="00B26111">
        <w:rPr>
          <w:b/>
          <w:sz w:val="22"/>
          <w:szCs w:val="22"/>
        </w:rPr>
        <w:t xml:space="preserve"> 9</w:t>
      </w:r>
      <w:r w:rsidR="00ED0C48">
        <w:rPr>
          <w:sz w:val="22"/>
          <w:szCs w:val="22"/>
        </w:rPr>
        <w:t xml:space="preserve"> specifies measure that shall be followed</w:t>
      </w:r>
      <w:r w:rsidR="00FD78D6">
        <w:rPr>
          <w:sz w:val="22"/>
          <w:szCs w:val="22"/>
        </w:rPr>
        <w:t xml:space="preserve"> to control u</w:t>
      </w:r>
      <w:r w:rsidR="00FD78D6" w:rsidRPr="00FD78D6">
        <w:rPr>
          <w:sz w:val="22"/>
          <w:szCs w:val="22"/>
        </w:rPr>
        <w:t xml:space="preserve">nconfined </w:t>
      </w:r>
      <w:r w:rsidR="00FD78D6">
        <w:rPr>
          <w:sz w:val="22"/>
          <w:szCs w:val="22"/>
        </w:rPr>
        <w:t>e</w:t>
      </w:r>
      <w:r w:rsidR="00FD78D6" w:rsidRPr="00FD78D6">
        <w:rPr>
          <w:sz w:val="22"/>
          <w:szCs w:val="22"/>
        </w:rPr>
        <w:t xml:space="preserve">missions of </w:t>
      </w:r>
      <w:r w:rsidR="00FD78D6">
        <w:rPr>
          <w:sz w:val="22"/>
          <w:szCs w:val="22"/>
        </w:rPr>
        <w:t>p</w:t>
      </w:r>
      <w:r w:rsidR="00FD78D6" w:rsidRPr="00FD78D6">
        <w:rPr>
          <w:sz w:val="22"/>
          <w:szCs w:val="22"/>
        </w:rPr>
        <w:t xml:space="preserve">articulate </w:t>
      </w:r>
      <w:r w:rsidR="00FD78D6">
        <w:rPr>
          <w:sz w:val="22"/>
          <w:szCs w:val="22"/>
        </w:rPr>
        <w:t>m</w:t>
      </w:r>
      <w:r w:rsidR="00FD78D6" w:rsidRPr="00FD78D6">
        <w:rPr>
          <w:sz w:val="22"/>
          <w:szCs w:val="22"/>
        </w:rPr>
        <w:t>atter</w:t>
      </w:r>
      <w:r w:rsidR="00FD78D6">
        <w:rPr>
          <w:sz w:val="22"/>
          <w:szCs w:val="22"/>
        </w:rPr>
        <w:t>.</w:t>
      </w:r>
    </w:p>
    <w:p w:rsidR="00CF3B91" w:rsidRDefault="00CF3B91" w:rsidP="00FD78D6">
      <w:pPr>
        <w:spacing w:after="120"/>
        <w:rPr>
          <w:sz w:val="22"/>
          <w:szCs w:val="22"/>
        </w:rPr>
      </w:pPr>
      <w:r>
        <w:rPr>
          <w:sz w:val="22"/>
          <w:szCs w:val="22"/>
        </w:rPr>
        <w:t xml:space="preserve">In addition, per </w:t>
      </w:r>
      <w:r w:rsidRPr="00CF3B91">
        <w:rPr>
          <w:b/>
          <w:sz w:val="22"/>
          <w:szCs w:val="22"/>
        </w:rPr>
        <w:t xml:space="preserve">Specific </w:t>
      </w:r>
      <w:r w:rsidRPr="00FD78D6">
        <w:rPr>
          <w:b/>
          <w:sz w:val="22"/>
          <w:szCs w:val="22"/>
        </w:rPr>
        <w:t xml:space="preserve">Condition </w:t>
      </w:r>
      <w:r>
        <w:rPr>
          <w:b/>
          <w:sz w:val="22"/>
          <w:szCs w:val="22"/>
        </w:rPr>
        <w:t>11</w:t>
      </w:r>
      <w:r w:rsidRPr="00FD78D6">
        <w:rPr>
          <w:b/>
          <w:sz w:val="22"/>
          <w:szCs w:val="22"/>
        </w:rPr>
        <w:t xml:space="preserve"> of Section 2 – Administrative </w:t>
      </w:r>
      <w:r>
        <w:rPr>
          <w:b/>
          <w:sz w:val="22"/>
          <w:szCs w:val="22"/>
        </w:rPr>
        <w:t>R</w:t>
      </w:r>
      <w:r w:rsidRPr="00FD78D6">
        <w:rPr>
          <w:b/>
          <w:sz w:val="22"/>
          <w:szCs w:val="22"/>
        </w:rPr>
        <w:t>equirements</w:t>
      </w:r>
      <w:r>
        <w:rPr>
          <w:b/>
          <w:sz w:val="22"/>
          <w:szCs w:val="22"/>
        </w:rPr>
        <w:t>,</w:t>
      </w:r>
      <w:r>
        <w:rPr>
          <w:sz w:val="22"/>
          <w:szCs w:val="22"/>
        </w:rPr>
        <w:t xml:space="preserve"> </w:t>
      </w:r>
      <w:r w:rsidRPr="00CF3B91">
        <w:rPr>
          <w:b/>
          <w:sz w:val="22"/>
          <w:szCs w:val="22"/>
        </w:rPr>
        <w:t>General Visible Emissions Standard</w:t>
      </w:r>
      <w:r>
        <w:t xml:space="preserve"> </w:t>
      </w:r>
      <w:r w:rsidR="00C6430A" w:rsidRPr="00C6430A">
        <w:rPr>
          <w:sz w:val="22"/>
          <w:szCs w:val="22"/>
        </w:rPr>
        <w:t xml:space="preserve">states that </w:t>
      </w:r>
      <w:r w:rsidRPr="00C6430A">
        <w:rPr>
          <w:sz w:val="22"/>
          <w:szCs w:val="22"/>
        </w:rPr>
        <w:t>no</w:t>
      </w:r>
      <w:r w:rsidRPr="00CF3B91">
        <w:rPr>
          <w:sz w:val="22"/>
          <w:szCs w:val="22"/>
        </w:rPr>
        <w:t xml:space="preserve"> person shall cause, let, permit, suffer, or allow to be discharged into the atmosphere the emissions of air pollutants from any activity, the density of which is equal to or greater than 20 percent </w:t>
      </w:r>
      <w:r w:rsidRPr="00C6430A">
        <w:rPr>
          <w:sz w:val="22"/>
          <w:szCs w:val="22"/>
        </w:rPr>
        <w:t>opacity (VE).</w:t>
      </w:r>
      <w:r w:rsidRPr="00665D16">
        <w:t xml:space="preserve">  </w:t>
      </w:r>
      <w:r>
        <w:rPr>
          <w:sz w:val="22"/>
          <w:szCs w:val="22"/>
        </w:rPr>
        <w:t xml:space="preserve">This permit condition provides </w:t>
      </w:r>
      <w:r w:rsidR="00C6430A">
        <w:rPr>
          <w:sz w:val="22"/>
          <w:szCs w:val="22"/>
        </w:rPr>
        <w:t xml:space="preserve">further </w:t>
      </w:r>
      <w:r>
        <w:rPr>
          <w:sz w:val="22"/>
          <w:szCs w:val="22"/>
        </w:rPr>
        <w:t>reasonable assurance the VE will be minimized negating the requirement for annual VE testing.</w:t>
      </w:r>
    </w:p>
    <w:p w:rsidR="00CB7426" w:rsidRPr="006C70B8" w:rsidRDefault="00CF3B91" w:rsidP="00FD78D6">
      <w:pPr>
        <w:spacing w:after="120"/>
        <w:rPr>
          <w:sz w:val="22"/>
          <w:szCs w:val="22"/>
        </w:rPr>
      </w:pPr>
      <w:r>
        <w:rPr>
          <w:sz w:val="22"/>
          <w:szCs w:val="22"/>
        </w:rPr>
        <w:t>Finally</w:t>
      </w:r>
      <w:r w:rsidR="00CB7426">
        <w:rPr>
          <w:sz w:val="22"/>
          <w:szCs w:val="22"/>
        </w:rPr>
        <w:t xml:space="preserve">, per </w:t>
      </w:r>
      <w:r w:rsidR="00CB7426" w:rsidRPr="0090259B">
        <w:rPr>
          <w:b/>
          <w:sz w:val="22"/>
          <w:szCs w:val="22"/>
        </w:rPr>
        <w:t>Specific Condition 2 of Section 3, Subsection D - Solid Fuel Handling System (EU 005)</w:t>
      </w:r>
      <w:r w:rsidR="006C70B8">
        <w:rPr>
          <w:sz w:val="22"/>
          <w:szCs w:val="22"/>
        </w:rPr>
        <w:t xml:space="preserve">, </w:t>
      </w:r>
      <w:r w:rsidR="00C6430A">
        <w:rPr>
          <w:sz w:val="22"/>
          <w:szCs w:val="22"/>
        </w:rPr>
        <w:t>indicates that Best Management Practices (BMP)</w:t>
      </w:r>
      <w:r w:rsidR="006C70B8">
        <w:rPr>
          <w:sz w:val="22"/>
          <w:szCs w:val="22"/>
        </w:rPr>
        <w:t xml:space="preserve"> shall be followed to minimize </w:t>
      </w:r>
      <w:r w:rsidR="006C70B8" w:rsidRPr="006C70B8">
        <w:rPr>
          <w:sz w:val="22"/>
          <w:szCs w:val="22"/>
        </w:rPr>
        <w:t>PM emissions from the handling of solid fuels</w:t>
      </w:r>
      <w:r w:rsidR="006C70B8">
        <w:rPr>
          <w:sz w:val="22"/>
          <w:szCs w:val="22"/>
        </w:rPr>
        <w:t>.  BMP shall consists of</w:t>
      </w:r>
      <w:r w:rsidR="006C70B8" w:rsidRPr="006C70B8">
        <w:rPr>
          <w:sz w:val="22"/>
          <w:szCs w:val="22"/>
        </w:rPr>
        <w:t xml:space="preserve"> enclosing or covering all solid fuel storage, conveyors and conveyor transfer points</w:t>
      </w:r>
      <w:r w:rsidR="006C70B8">
        <w:rPr>
          <w:sz w:val="22"/>
          <w:szCs w:val="22"/>
        </w:rPr>
        <w:t xml:space="preserve"> and applying w</w:t>
      </w:r>
      <w:r w:rsidR="006C70B8" w:rsidRPr="006C70B8">
        <w:rPr>
          <w:sz w:val="22"/>
          <w:szCs w:val="22"/>
        </w:rPr>
        <w:t>ater sprays or chemical wetting agents and stabilizers to uncovered storage piles, roads, handling equipment, etc. during dry periods</w:t>
      </w:r>
      <w:r w:rsidR="006C70B8">
        <w:rPr>
          <w:sz w:val="22"/>
          <w:szCs w:val="22"/>
        </w:rPr>
        <w:t xml:space="preserve"> to minimize VE.  This permit </w:t>
      </w:r>
      <w:r w:rsidR="0090259B">
        <w:rPr>
          <w:sz w:val="22"/>
          <w:szCs w:val="22"/>
        </w:rPr>
        <w:t xml:space="preserve">condition </w:t>
      </w:r>
      <w:r w:rsidR="006C70B8">
        <w:rPr>
          <w:sz w:val="22"/>
          <w:szCs w:val="22"/>
        </w:rPr>
        <w:t>further provides reasonable assurance the VE will be minimized negating the requirement for annual VE testing.</w:t>
      </w:r>
    </w:p>
    <w:p w:rsidR="00193F10" w:rsidRPr="002C66F8" w:rsidRDefault="004702CC" w:rsidP="00511785">
      <w:pPr>
        <w:pStyle w:val="ListParagraph"/>
        <w:numPr>
          <w:ilvl w:val="0"/>
          <w:numId w:val="5"/>
        </w:numPr>
        <w:spacing w:after="120"/>
        <w:ind w:hanging="720"/>
        <w:contextualSpacing w:val="0"/>
        <w:rPr>
          <w:rFonts w:ascii="Times New Roman" w:hAnsi="Times New Roman" w:cs="Times New Roman"/>
          <w:b/>
          <w:caps/>
        </w:rPr>
      </w:pPr>
      <w:r>
        <w:rPr>
          <w:rFonts w:ascii="Times New Roman" w:hAnsi="Times New Roman" w:cs="Times New Roman"/>
          <w:b/>
          <w:caps/>
        </w:rPr>
        <w:t>applicable regulations</w:t>
      </w:r>
    </w:p>
    <w:p w:rsidR="00356B70" w:rsidRPr="002C66F8" w:rsidRDefault="00356B70" w:rsidP="00511785">
      <w:pPr>
        <w:pStyle w:val="ListParagraph"/>
        <w:numPr>
          <w:ilvl w:val="0"/>
          <w:numId w:val="14"/>
        </w:numPr>
        <w:spacing w:after="120"/>
        <w:ind w:hanging="720"/>
        <w:contextualSpacing w:val="0"/>
        <w:rPr>
          <w:rFonts w:ascii="Times New Roman" w:hAnsi="Times New Roman" w:cs="Times New Roman"/>
          <w:b/>
          <w:caps/>
        </w:rPr>
      </w:pPr>
      <w:r w:rsidRPr="002C66F8">
        <w:rPr>
          <w:rFonts w:ascii="Times New Roman" w:hAnsi="Times New Roman" w:cs="Times New Roman"/>
          <w:b/>
        </w:rPr>
        <w:t>State Regulations</w:t>
      </w:r>
    </w:p>
    <w:p w:rsidR="00922314" w:rsidRDefault="00922314" w:rsidP="00356B70">
      <w:pPr>
        <w:pStyle w:val="Default"/>
        <w:spacing w:after="120"/>
        <w:rPr>
          <w:bCs/>
          <w:sz w:val="22"/>
          <w:szCs w:val="22"/>
        </w:rPr>
      </w:pPr>
      <w:r>
        <w:rPr>
          <w:bCs/>
          <w:sz w:val="22"/>
          <w:szCs w:val="22"/>
        </w:rPr>
        <w:t xml:space="preserve">The facility will continue to operate under its existing air construction and facility Title V operation permits.  The most recent applicable permit </w:t>
      </w:r>
      <w:r w:rsidR="00146279">
        <w:rPr>
          <w:bCs/>
          <w:sz w:val="22"/>
          <w:szCs w:val="22"/>
        </w:rPr>
        <w:t xml:space="preserve">can be accessed by entering the </w:t>
      </w:r>
      <w:r>
        <w:rPr>
          <w:bCs/>
          <w:sz w:val="22"/>
          <w:szCs w:val="22"/>
        </w:rPr>
        <w:t>Title V Permit No. 1050233-02</w:t>
      </w:r>
      <w:r w:rsidR="00146279">
        <w:rPr>
          <w:bCs/>
          <w:sz w:val="22"/>
          <w:szCs w:val="22"/>
        </w:rPr>
        <w:t>8</w:t>
      </w:r>
      <w:r>
        <w:rPr>
          <w:bCs/>
          <w:sz w:val="22"/>
          <w:szCs w:val="22"/>
        </w:rPr>
        <w:t xml:space="preserve">-AV </w:t>
      </w:r>
      <w:r w:rsidR="00146279">
        <w:rPr>
          <w:bCs/>
          <w:sz w:val="22"/>
          <w:szCs w:val="22"/>
        </w:rPr>
        <w:t>at the webpage at the following link</w:t>
      </w:r>
      <w:r>
        <w:rPr>
          <w:bCs/>
          <w:sz w:val="22"/>
          <w:szCs w:val="22"/>
        </w:rPr>
        <w:t>:</w:t>
      </w:r>
    </w:p>
    <w:p w:rsidR="00922314" w:rsidRPr="00857B7C" w:rsidRDefault="00EA56A0" w:rsidP="003B6828">
      <w:pPr>
        <w:pStyle w:val="Default"/>
        <w:spacing w:after="120"/>
        <w:rPr>
          <w:bCs/>
          <w:sz w:val="22"/>
          <w:szCs w:val="22"/>
        </w:rPr>
      </w:pPr>
      <w:hyperlink r:id="rId12" w:history="1">
        <w:r w:rsidR="00146279" w:rsidRPr="00426693">
          <w:rPr>
            <w:rStyle w:val="Hyperlink"/>
          </w:rPr>
          <w:t>http://appprod.dep.state.fl.us/air/emission/apds/default.asp</w:t>
        </w:r>
      </w:hyperlink>
      <w:r w:rsidR="00146279">
        <w:t xml:space="preserve"> </w:t>
      </w:r>
      <w:r w:rsidR="004E0A4A">
        <w:rPr>
          <w:bCs/>
          <w:sz w:val="22"/>
          <w:szCs w:val="22"/>
        </w:rPr>
        <w:t xml:space="preserve">  </w:t>
      </w:r>
    </w:p>
    <w:p w:rsidR="002C66F8" w:rsidRPr="002C66F8" w:rsidRDefault="002C66F8" w:rsidP="00511785">
      <w:pPr>
        <w:pStyle w:val="ListParagraph"/>
        <w:numPr>
          <w:ilvl w:val="0"/>
          <w:numId w:val="15"/>
        </w:numPr>
        <w:spacing w:after="120"/>
        <w:ind w:hanging="720"/>
        <w:contextualSpacing w:val="0"/>
        <w:rPr>
          <w:rFonts w:ascii="Times New Roman" w:hAnsi="Times New Roman" w:cs="Times New Roman"/>
          <w:b/>
          <w:caps/>
        </w:rPr>
      </w:pPr>
      <w:r w:rsidRPr="002C66F8">
        <w:rPr>
          <w:rFonts w:ascii="Times New Roman" w:hAnsi="Times New Roman" w:cs="Times New Roman"/>
          <w:b/>
        </w:rPr>
        <w:t xml:space="preserve">Federal Regulations Relating to </w:t>
      </w:r>
      <w:r w:rsidR="004C4BFF">
        <w:rPr>
          <w:rFonts w:ascii="Times New Roman" w:hAnsi="Times New Roman" w:cs="Times New Roman"/>
          <w:b/>
        </w:rPr>
        <w:t xml:space="preserve">the </w:t>
      </w:r>
      <w:r w:rsidRPr="002C66F8">
        <w:rPr>
          <w:rFonts w:ascii="Times New Roman" w:hAnsi="Times New Roman" w:cs="Times New Roman"/>
          <w:b/>
        </w:rPr>
        <w:t xml:space="preserve">Project </w:t>
      </w:r>
    </w:p>
    <w:p w:rsidR="002C66F8" w:rsidRPr="002C66F8" w:rsidRDefault="002C66F8" w:rsidP="00511785">
      <w:pPr>
        <w:pStyle w:val="ListParagraph"/>
        <w:numPr>
          <w:ilvl w:val="0"/>
          <w:numId w:val="16"/>
        </w:numPr>
        <w:spacing w:after="120"/>
        <w:ind w:hanging="720"/>
        <w:contextualSpacing w:val="0"/>
        <w:rPr>
          <w:rFonts w:ascii="Times New Roman" w:hAnsi="Times New Roman" w:cs="Times New Roman"/>
          <w:b/>
          <w:caps/>
        </w:rPr>
      </w:pPr>
      <w:r w:rsidRPr="006124BE">
        <w:rPr>
          <w:rFonts w:ascii="Times New Roman" w:hAnsi="Times New Roman" w:cs="Times New Roman"/>
          <w:u w:val="single"/>
        </w:rPr>
        <w:t>NSPS Applicability</w:t>
      </w:r>
    </w:p>
    <w:p w:rsidR="004C4BFF" w:rsidRDefault="00146279" w:rsidP="004C4BFF">
      <w:pPr>
        <w:spacing w:after="120"/>
        <w:rPr>
          <w:sz w:val="22"/>
          <w:szCs w:val="22"/>
        </w:rPr>
      </w:pPr>
      <w:r w:rsidRPr="004C4BFF">
        <w:rPr>
          <w:sz w:val="22"/>
          <w:szCs w:val="22"/>
        </w:rPr>
        <w:t>The solid fuel handling system</w:t>
      </w:r>
      <w:r w:rsidR="0086767E" w:rsidRPr="004C4BFF">
        <w:rPr>
          <w:sz w:val="22"/>
          <w:szCs w:val="22"/>
        </w:rPr>
        <w:t xml:space="preserve"> is subject to NSPS 40 CFR 60 Subpart Y - Standards of Performance for Coal Preparation Plants and Processing Plants</w:t>
      </w:r>
      <w:r w:rsidR="002C66F8" w:rsidRPr="004C4BFF">
        <w:rPr>
          <w:sz w:val="22"/>
          <w:szCs w:val="22"/>
        </w:rPr>
        <w:t>.</w:t>
      </w:r>
      <w:r w:rsidR="004C4BFF" w:rsidRPr="004C4BFF">
        <w:rPr>
          <w:sz w:val="22"/>
          <w:szCs w:val="22"/>
        </w:rPr>
        <w:t xml:space="preserve">  The provisions of this subpart apply to affected facilities in coal preparation and processing plants that process more than 181 megagrams (Mg) (200 tons) of coal per day.</w:t>
      </w:r>
      <w:r w:rsidR="004C4BFF">
        <w:rPr>
          <w:sz w:val="22"/>
          <w:szCs w:val="22"/>
        </w:rPr>
        <w:t xml:space="preserve">  </w:t>
      </w:r>
      <w:r w:rsidR="004C4BFF" w:rsidRPr="004C4BFF">
        <w:rPr>
          <w:sz w:val="22"/>
          <w:szCs w:val="22"/>
        </w:rPr>
        <w:t>The provisions in § 60.251, § 60.252(a), § 60.253(a), § 60.254(a), § 60.255(a), and § 60.256(a) of this subpart are applicable to any of the following affected facilities that commenced construction, reconstruction or modification after October 27, 1974, and on or before April 28, 2008: Thermal dryers, pneumatic coal-cleaning equipment (air tables), coal processing and conveying equipment (including breakers and crushers), and coal storage systems, transfer and loading systems.</w:t>
      </w:r>
    </w:p>
    <w:p w:rsidR="00CB7426" w:rsidRPr="00CB7426" w:rsidRDefault="00CB7426" w:rsidP="004C4BFF">
      <w:pPr>
        <w:spacing w:after="120"/>
        <w:rPr>
          <w:sz w:val="22"/>
          <w:szCs w:val="22"/>
        </w:rPr>
      </w:pPr>
      <w:r w:rsidRPr="00CB7426">
        <w:rPr>
          <w:sz w:val="22"/>
          <w:szCs w:val="22"/>
        </w:rPr>
        <w:t xml:space="preserve">In addition, this emissions unit is subject to the applicable General Provisions of NSPS Subpart A.  </w:t>
      </w:r>
    </w:p>
    <w:p w:rsidR="00DA04BF" w:rsidRPr="005520A0" w:rsidRDefault="005520A0" w:rsidP="000F14B7">
      <w:pPr>
        <w:pStyle w:val="ListParagraph"/>
        <w:widowControl w:val="0"/>
        <w:numPr>
          <w:ilvl w:val="0"/>
          <w:numId w:val="20"/>
        </w:numPr>
        <w:spacing w:after="120"/>
        <w:ind w:hanging="720"/>
        <w:contextualSpacing w:val="0"/>
        <w:rPr>
          <w:rFonts w:ascii="Times New Roman" w:hAnsi="Times New Roman" w:cs="Times New Roman"/>
          <w:b/>
          <w:caps/>
        </w:rPr>
      </w:pPr>
      <w:r>
        <w:rPr>
          <w:rFonts w:ascii="Times New Roman" w:hAnsi="Times New Roman" w:cs="Times New Roman"/>
          <w:u w:val="single"/>
        </w:rPr>
        <w:t>NESHAP Applicability</w:t>
      </w:r>
    </w:p>
    <w:p w:rsidR="00B26111" w:rsidRDefault="004702CC" w:rsidP="005520A0">
      <w:pPr>
        <w:pStyle w:val="ListParagraph"/>
        <w:spacing w:after="120" w:line="240" w:lineRule="auto"/>
        <w:ind w:left="0"/>
        <w:contextualSpacing w:val="0"/>
        <w:rPr>
          <w:rFonts w:ascii="Times New Roman" w:hAnsi="Times New Roman" w:cs="Times New Roman"/>
        </w:rPr>
      </w:pPr>
      <w:r>
        <w:rPr>
          <w:rFonts w:ascii="Times New Roman" w:hAnsi="Times New Roman" w:cs="Times New Roman"/>
        </w:rPr>
        <w:t>NO NESHAP apply to EU 005 at the PPS.</w:t>
      </w:r>
    </w:p>
    <w:p w:rsidR="00B26111" w:rsidRDefault="00B26111">
      <w:pPr>
        <w:rPr>
          <w:rFonts w:eastAsiaTheme="minorHAnsi"/>
          <w:sz w:val="22"/>
          <w:szCs w:val="22"/>
        </w:rPr>
      </w:pPr>
      <w:r>
        <w:br w:type="page"/>
      </w:r>
    </w:p>
    <w:p w:rsidR="00380E63" w:rsidRPr="005520A0" w:rsidRDefault="005520A0" w:rsidP="005520A0">
      <w:pPr>
        <w:pStyle w:val="ListParagraph"/>
        <w:numPr>
          <w:ilvl w:val="0"/>
          <w:numId w:val="5"/>
        </w:numPr>
        <w:spacing w:after="120"/>
        <w:ind w:hanging="720"/>
        <w:contextualSpacing w:val="0"/>
        <w:rPr>
          <w:rFonts w:ascii="Times New Roman Bold" w:hAnsi="Times New Roman Bold" w:cs="Times New Roman"/>
          <w:b/>
          <w:caps/>
        </w:rPr>
      </w:pPr>
      <w:r w:rsidRPr="005520A0">
        <w:rPr>
          <w:rFonts w:ascii="Times New Roman Bold" w:hAnsi="Times New Roman Bold" w:cs="Times New Roman"/>
          <w:b/>
          <w:caps/>
        </w:rPr>
        <w:lastRenderedPageBreak/>
        <w:t xml:space="preserve">Required Permit Changes </w:t>
      </w:r>
    </w:p>
    <w:p w:rsidR="00A84D12" w:rsidRPr="0090259B" w:rsidRDefault="0090259B" w:rsidP="00D8265A">
      <w:pPr>
        <w:spacing w:after="120"/>
        <w:rPr>
          <w:sz w:val="22"/>
          <w:szCs w:val="22"/>
        </w:rPr>
      </w:pPr>
      <w:r>
        <w:rPr>
          <w:sz w:val="22"/>
          <w:szCs w:val="22"/>
        </w:rPr>
        <w:t xml:space="preserve">In </w:t>
      </w:r>
      <w:r w:rsidRPr="0090259B">
        <w:rPr>
          <w:b/>
          <w:sz w:val="22"/>
          <w:szCs w:val="22"/>
        </w:rPr>
        <w:t>Section 3, Subsection D - Solid Fuel Handling System (EU 005)</w:t>
      </w:r>
      <w:r>
        <w:rPr>
          <w:sz w:val="22"/>
          <w:szCs w:val="22"/>
        </w:rPr>
        <w:t xml:space="preserve"> of Permit No. 1050233-029-AC (PSD-FL-194J) Specific Conditions 6, 7 and 8 must be modified to eliminate the requirement for annual VE testing of EU 005.  In addition, the descriptive language of this subsection must be changed for clarity and to indicate that annual </w:t>
      </w:r>
      <w:r w:rsidR="00BF49AB">
        <w:rPr>
          <w:sz w:val="22"/>
          <w:szCs w:val="22"/>
        </w:rPr>
        <w:t xml:space="preserve">VE </w:t>
      </w:r>
      <w:r>
        <w:rPr>
          <w:sz w:val="22"/>
          <w:szCs w:val="22"/>
        </w:rPr>
        <w:t>testing is not required.  In the permit enclosed with the technical evaluation document, these changes are reflect</w:t>
      </w:r>
      <w:r w:rsidR="00BF49AB">
        <w:rPr>
          <w:sz w:val="22"/>
          <w:szCs w:val="22"/>
        </w:rPr>
        <w:t>ed</w:t>
      </w:r>
      <w:r>
        <w:rPr>
          <w:sz w:val="22"/>
          <w:szCs w:val="22"/>
        </w:rPr>
        <w:t xml:space="preserve"> as follows:  </w:t>
      </w:r>
      <w:r w:rsidR="00BF49AB">
        <w:rPr>
          <w:sz w:val="22"/>
          <w:szCs w:val="22"/>
        </w:rPr>
        <w:t xml:space="preserve">deletions in </w:t>
      </w:r>
      <w:r w:rsidR="00BF49AB" w:rsidRPr="00BF49AB">
        <w:rPr>
          <w:strike/>
          <w:sz w:val="22"/>
          <w:szCs w:val="22"/>
        </w:rPr>
        <w:t>strikethrough</w:t>
      </w:r>
      <w:r w:rsidR="00BF49AB">
        <w:rPr>
          <w:sz w:val="22"/>
          <w:szCs w:val="22"/>
        </w:rPr>
        <w:t xml:space="preserve"> text and additions </w:t>
      </w:r>
      <w:r w:rsidR="00BF49AB" w:rsidRPr="00BF49AB">
        <w:rPr>
          <w:sz w:val="22"/>
          <w:szCs w:val="22"/>
          <w:u w:val="double"/>
        </w:rPr>
        <w:t>in doubled underlined</w:t>
      </w:r>
      <w:r w:rsidR="00BF49AB">
        <w:rPr>
          <w:sz w:val="22"/>
          <w:szCs w:val="22"/>
        </w:rPr>
        <w:t xml:space="preserve"> text.  All changes are also </w:t>
      </w:r>
      <w:r w:rsidR="00BF49AB" w:rsidRPr="00BF49AB">
        <w:rPr>
          <w:sz w:val="22"/>
          <w:szCs w:val="22"/>
          <w:highlight w:val="yellow"/>
        </w:rPr>
        <w:t>highlighted</w:t>
      </w:r>
      <w:r w:rsidR="00BF49AB">
        <w:rPr>
          <w:sz w:val="22"/>
          <w:szCs w:val="22"/>
        </w:rPr>
        <w:t xml:space="preserve"> in yellow.</w:t>
      </w:r>
    </w:p>
    <w:p w:rsidR="00193F10" w:rsidRPr="006547D7" w:rsidRDefault="00193F10" w:rsidP="009A1E14">
      <w:pPr>
        <w:pStyle w:val="ListParagraph"/>
        <w:widowControl w:val="0"/>
        <w:numPr>
          <w:ilvl w:val="0"/>
          <w:numId w:val="5"/>
        </w:numPr>
        <w:spacing w:after="80"/>
        <w:ind w:hanging="720"/>
        <w:contextualSpacing w:val="0"/>
        <w:rPr>
          <w:rFonts w:ascii="Times New Roman" w:hAnsi="Times New Roman" w:cs="Times New Roman"/>
          <w:b/>
          <w:caps/>
        </w:rPr>
      </w:pPr>
      <w:r w:rsidRPr="006547D7">
        <w:rPr>
          <w:rFonts w:ascii="Times New Roman" w:hAnsi="Times New Roman" w:cs="Times New Roman"/>
          <w:b/>
          <w:caps/>
        </w:rPr>
        <w:t>Preliminary Determination</w:t>
      </w:r>
    </w:p>
    <w:p w:rsidR="00193F10" w:rsidRDefault="00193F10" w:rsidP="009A1E14">
      <w:pPr>
        <w:widowControl w:val="0"/>
        <w:spacing w:after="80"/>
        <w:rPr>
          <w:sz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Pr="002A28C2">
        <w:rPr>
          <w:sz w:val="22"/>
        </w:rPr>
        <w:t xml:space="preserve">No air quality modeling analysis is required because the project does not result in a significant increase in emissions.  </w:t>
      </w:r>
      <w:r w:rsidR="00DE15E2">
        <w:rPr>
          <w:sz w:val="22"/>
        </w:rPr>
        <w:t>David Read</w:t>
      </w:r>
      <w:r w:rsidR="00403686">
        <w:rPr>
          <w:sz w:val="22"/>
        </w:rPr>
        <w:t>, P.E.,</w:t>
      </w:r>
      <w:r>
        <w:rPr>
          <w:sz w:val="22"/>
        </w:rPr>
        <w:t xml:space="preserve"> is the project engineer responsible for reviewing the application and drafting the permit.  Additional details of this analysis may be obtained by contacting the project engineer at the Department’s </w:t>
      </w:r>
      <w:r w:rsidR="00F94821">
        <w:rPr>
          <w:sz w:val="22"/>
        </w:rPr>
        <w:t>Office of Permitting and Compliance</w:t>
      </w:r>
      <w:r>
        <w:rPr>
          <w:sz w:val="22"/>
        </w:rPr>
        <w:t xml:space="preserve"> at Mail Station #5505, 2600 Blair Stone Road, Tallahassee, Florida  32399-2400.</w:t>
      </w:r>
    </w:p>
    <w:sectPr w:rsidR="00193F10" w:rsidSect="009A486C">
      <w:headerReference w:type="default" r:id="rId13"/>
      <w:footerReference w:type="default" r:id="rId14"/>
      <w:headerReference w:type="first" r:id="rId15"/>
      <w:footerReference w:type="first" r:id="rId16"/>
      <w:type w:val="continuous"/>
      <w:pgSz w:w="12240" w:h="15840" w:code="1"/>
      <w:pgMar w:top="1440" w:right="1440" w:bottom="1440" w:left="1440" w:header="720" w:footer="386" w:gutter="0"/>
      <w:paperSrc w:first="15" w:other="15"/>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366F" w:rsidRDefault="00C5366F">
      <w:r>
        <w:separator/>
      </w:r>
    </w:p>
  </w:endnote>
  <w:endnote w:type="continuationSeparator" w:id="0">
    <w:p w:rsidR="00C5366F" w:rsidRDefault="00C536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1190" w:rsidRPr="00C02BEB" w:rsidRDefault="001C1190" w:rsidP="001F10B9">
    <w:pPr>
      <w:pBdr>
        <w:top w:val="single" w:sz="6" w:space="1" w:color="auto"/>
      </w:pBdr>
      <w:tabs>
        <w:tab w:val="right" w:pos="9360"/>
      </w:tabs>
      <w:spacing w:before="240"/>
      <w:rPr>
        <w:rStyle w:val="PageNumber"/>
        <w:highlight w:val="yellow"/>
      </w:rPr>
    </w:pPr>
    <w:r>
      <w:rPr>
        <w:rStyle w:val="PageNumber"/>
      </w:rPr>
      <w:t>Tampa Electric Company</w:t>
    </w:r>
    <w:r w:rsidRPr="00C02BEB">
      <w:rPr>
        <w:rStyle w:val="PageNumber"/>
      </w:rPr>
      <w:tab/>
    </w:r>
    <w:r w:rsidRPr="00F722ED">
      <w:rPr>
        <w:rStyle w:val="PageNumber"/>
      </w:rPr>
      <w:t>Project No. 1050233-0</w:t>
    </w:r>
    <w:r>
      <w:rPr>
        <w:rStyle w:val="PageNumber"/>
      </w:rPr>
      <w:t>35</w:t>
    </w:r>
    <w:r w:rsidRPr="00F722ED">
      <w:rPr>
        <w:rStyle w:val="PageNumber"/>
      </w:rPr>
      <w:t>-</w:t>
    </w:r>
    <w:r>
      <w:rPr>
        <w:rStyle w:val="PageNumber"/>
      </w:rPr>
      <w:t>A</w:t>
    </w:r>
    <w:r>
      <w:t>C,</w:t>
    </w:r>
    <w:r w:rsidRPr="00E61A85">
      <w:t xml:space="preserve"> </w:t>
    </w:r>
    <w:r w:rsidRPr="00543D6B">
      <w:t>PSD-FL-194</w:t>
    </w:r>
    <w:r>
      <w:t>K</w:t>
    </w:r>
  </w:p>
  <w:p w:rsidR="001C1190" w:rsidRPr="00C02BEB" w:rsidRDefault="001C1190" w:rsidP="001F10B9">
    <w:pPr>
      <w:pBdr>
        <w:top w:val="single" w:sz="6" w:space="1" w:color="auto"/>
      </w:pBdr>
      <w:tabs>
        <w:tab w:val="right" w:pos="9360"/>
      </w:tabs>
      <w:rPr>
        <w:rStyle w:val="PageNumber"/>
      </w:rPr>
    </w:pPr>
    <w:r>
      <w:rPr>
        <w:rStyle w:val="PageNumber"/>
      </w:rPr>
      <w:t>Polk Power Station</w:t>
    </w:r>
    <w:r w:rsidRPr="00C02BEB">
      <w:rPr>
        <w:rStyle w:val="PageNumber"/>
      </w:rPr>
      <w:tab/>
    </w:r>
    <w:r>
      <w:rPr>
        <w:rStyle w:val="PageNumber"/>
      </w:rPr>
      <w:t>Polk County</w:t>
    </w:r>
  </w:p>
  <w:p w:rsidR="001C1190" w:rsidRDefault="001C1190">
    <w:pPr>
      <w:pStyle w:val="Footer"/>
      <w:tabs>
        <w:tab w:val="clear" w:pos="4320"/>
        <w:tab w:val="clear" w:pos="8640"/>
      </w:tabs>
      <w:jc w:val="center"/>
    </w:pPr>
    <w:r>
      <w:rPr>
        <w:rStyle w:val="PageNumber"/>
      </w:rPr>
      <w:t xml:space="preserve">Page </w:t>
    </w:r>
    <w:r w:rsidR="00EA56A0">
      <w:rPr>
        <w:rStyle w:val="PageNumber"/>
      </w:rPr>
      <w:fldChar w:fldCharType="begin"/>
    </w:r>
    <w:r>
      <w:rPr>
        <w:rStyle w:val="PageNumber"/>
      </w:rPr>
      <w:instrText xml:space="preserve"> PAGE </w:instrText>
    </w:r>
    <w:r w:rsidR="00EA56A0">
      <w:rPr>
        <w:rStyle w:val="PageNumber"/>
      </w:rPr>
      <w:fldChar w:fldCharType="separate"/>
    </w:r>
    <w:r w:rsidR="00033898">
      <w:rPr>
        <w:rStyle w:val="PageNumber"/>
        <w:noProof/>
      </w:rPr>
      <w:t>6</w:t>
    </w:r>
    <w:r w:rsidR="00EA56A0">
      <w:rPr>
        <w:rStyle w:val="PageNumber"/>
      </w:rPr>
      <w:fldChar w:fldCharType="end"/>
    </w:r>
    <w:r>
      <w:rPr>
        <w:rStyle w:val="PageNumber"/>
      </w:rPr>
      <w:t xml:space="preserve"> of </w:t>
    </w:r>
    <w:r w:rsidR="00EA56A0">
      <w:rPr>
        <w:rStyle w:val="PageNumber"/>
      </w:rPr>
      <w:fldChar w:fldCharType="begin"/>
    </w:r>
    <w:r>
      <w:rPr>
        <w:rStyle w:val="PageNumber"/>
      </w:rPr>
      <w:instrText xml:space="preserve"> NUMPAGES </w:instrText>
    </w:r>
    <w:r w:rsidR="00EA56A0">
      <w:rPr>
        <w:rStyle w:val="PageNumber"/>
      </w:rPr>
      <w:fldChar w:fldCharType="separate"/>
    </w:r>
    <w:r w:rsidR="00033898">
      <w:rPr>
        <w:rStyle w:val="PageNumber"/>
        <w:noProof/>
      </w:rPr>
      <w:t>6</w:t>
    </w:r>
    <w:r w:rsidR="00EA56A0">
      <w:rPr>
        <w:rStyle w:val="PageNumber"/>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1190" w:rsidRDefault="001C119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366F" w:rsidRDefault="00C5366F">
      <w:r>
        <w:separator/>
      </w:r>
    </w:p>
  </w:footnote>
  <w:footnote w:type="continuationSeparator" w:id="0">
    <w:p w:rsidR="00C5366F" w:rsidRDefault="00C536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1190" w:rsidRDefault="001C1190">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1190" w:rsidRDefault="001C119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169EA"/>
    <w:multiLevelType w:val="hybridMultilevel"/>
    <w:tmpl w:val="01403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AA1286"/>
    <w:multiLevelType w:val="hybridMultilevel"/>
    <w:tmpl w:val="E4983A96"/>
    <w:lvl w:ilvl="0" w:tplc="214CA9D6">
      <w:start w:val="2"/>
      <w:numFmt w:val="decimal"/>
      <w:lvlText w:val="%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A53038"/>
    <w:multiLevelType w:val="hybridMultilevel"/>
    <w:tmpl w:val="1944CACC"/>
    <w:lvl w:ilvl="0" w:tplc="123AA9D6">
      <w:start w:val="1"/>
      <w:numFmt w:val="decimal"/>
      <w:lvlText w:val="%1.4"/>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8FB3679"/>
    <w:multiLevelType w:val="hybridMultilevel"/>
    <w:tmpl w:val="D9726B7E"/>
    <w:lvl w:ilvl="0" w:tplc="942E390C">
      <w:start w:val="4"/>
      <w:numFmt w:val="decimal"/>
      <w:lvlText w:val="%1.1.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713ACF"/>
    <w:multiLevelType w:val="hybridMultilevel"/>
    <w:tmpl w:val="C11E35E6"/>
    <w:lvl w:ilvl="0" w:tplc="42504186">
      <w:start w:val="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8953A15"/>
    <w:multiLevelType w:val="hybridMultilevel"/>
    <w:tmpl w:val="0FD49936"/>
    <w:lvl w:ilvl="0" w:tplc="F3824B46">
      <w:start w:val="3"/>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5334FA"/>
    <w:multiLevelType w:val="hybridMultilevel"/>
    <w:tmpl w:val="65B40C86"/>
    <w:lvl w:ilvl="0" w:tplc="00B69EE6">
      <w:start w:val="3"/>
      <w:numFmt w:val="decimal"/>
      <w:lvlText w:val="%1.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C12CD6"/>
    <w:multiLevelType w:val="hybridMultilevel"/>
    <w:tmpl w:val="3112D528"/>
    <w:lvl w:ilvl="0" w:tplc="0409000F">
      <w:start w:val="1"/>
      <w:numFmt w:val="decimal"/>
      <w:lvlText w:val="%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A4865"/>
    <w:multiLevelType w:val="hybridMultilevel"/>
    <w:tmpl w:val="5C7A0E78"/>
    <w:lvl w:ilvl="0" w:tplc="B5DAE890">
      <w:start w:val="4"/>
      <w:numFmt w:val="decimal"/>
      <w:lvlText w:val="%1.2.3"/>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DC3633"/>
    <w:multiLevelType w:val="hybridMultilevel"/>
    <w:tmpl w:val="250CA05A"/>
    <w:lvl w:ilvl="0" w:tplc="55F64902">
      <w:start w:val="4"/>
      <w:numFmt w:val="decimal"/>
      <w:lvlText w:val="%1.2.2.3"/>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1EC0E60"/>
    <w:multiLevelType w:val="hybridMultilevel"/>
    <w:tmpl w:val="08A62808"/>
    <w:lvl w:ilvl="0" w:tplc="6AE8C83A">
      <w:start w:val="4"/>
      <w:numFmt w:val="decimal"/>
      <w:lvlText w:val="%1.2.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28E491C"/>
    <w:multiLevelType w:val="hybridMultilevel"/>
    <w:tmpl w:val="89BC9908"/>
    <w:lvl w:ilvl="0" w:tplc="F6EA2E38">
      <w:start w:val="4"/>
      <w:numFmt w:val="decimal"/>
      <w:lvlText w:val="%1.1.2.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3844520"/>
    <w:multiLevelType w:val="hybridMultilevel"/>
    <w:tmpl w:val="4130276A"/>
    <w:lvl w:ilvl="0" w:tplc="6D9A3108">
      <w:start w:val="2"/>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4A76031"/>
    <w:multiLevelType w:val="hybridMultilevel"/>
    <w:tmpl w:val="0EBC8BCE"/>
    <w:lvl w:ilvl="0" w:tplc="6BE49128">
      <w:start w:val="9"/>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6956146"/>
    <w:multiLevelType w:val="hybridMultilevel"/>
    <w:tmpl w:val="B7ACBC1A"/>
    <w:lvl w:ilvl="0" w:tplc="C744032A">
      <w:start w:val="4"/>
      <w:numFmt w:val="decimal"/>
      <w:lvlText w:val="%1.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71B7262"/>
    <w:multiLevelType w:val="hybridMultilevel"/>
    <w:tmpl w:val="9488B174"/>
    <w:lvl w:ilvl="0" w:tplc="51988812">
      <w:start w:val="2"/>
      <w:numFmt w:val="decimal"/>
      <w:lvlText w:val="%1.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CB4CC8"/>
    <w:multiLevelType w:val="hybridMultilevel"/>
    <w:tmpl w:val="D0144428"/>
    <w:lvl w:ilvl="0" w:tplc="272665E4">
      <w:start w:val="10"/>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9420E02"/>
    <w:multiLevelType w:val="hybridMultilevel"/>
    <w:tmpl w:val="A4F49266"/>
    <w:lvl w:ilvl="0" w:tplc="1ADCA9B8">
      <w:start w:val="4"/>
      <w:numFmt w:val="decimal"/>
      <w:lvlText w:val="%1.1.3"/>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96666B5"/>
    <w:multiLevelType w:val="hybridMultilevel"/>
    <w:tmpl w:val="F028ED22"/>
    <w:lvl w:ilvl="0" w:tplc="DF6CF094">
      <w:start w:val="3"/>
      <w:numFmt w:val="decimal"/>
      <w:lvlText w:val="%1.2.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ACE53B8"/>
    <w:multiLevelType w:val="hybridMultilevel"/>
    <w:tmpl w:val="0CC66B30"/>
    <w:lvl w:ilvl="0" w:tplc="67C2EE8E">
      <w:start w:val="8"/>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B407F63"/>
    <w:multiLevelType w:val="hybridMultilevel"/>
    <w:tmpl w:val="3B06E9A6"/>
    <w:lvl w:ilvl="0" w:tplc="E2767580">
      <w:start w:val="1"/>
      <w:numFmt w:val="upperLetter"/>
      <w:lvlText w:val="%1.6"/>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883D2C"/>
    <w:multiLevelType w:val="hybridMultilevel"/>
    <w:tmpl w:val="F028ED22"/>
    <w:lvl w:ilvl="0" w:tplc="DF6CF094">
      <w:start w:val="3"/>
      <w:numFmt w:val="decimal"/>
      <w:lvlText w:val="%1.2.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2B0532A"/>
    <w:multiLevelType w:val="hybridMultilevel"/>
    <w:tmpl w:val="70423672"/>
    <w:lvl w:ilvl="0" w:tplc="4992E846">
      <w:start w:val="4"/>
      <w:numFmt w:val="decimal"/>
      <w:lvlText w:val="%1.1.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5E250BF"/>
    <w:multiLevelType w:val="hybridMultilevel"/>
    <w:tmpl w:val="A276F630"/>
    <w:lvl w:ilvl="0" w:tplc="D488206E">
      <w:start w:val="3"/>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61A34CE"/>
    <w:multiLevelType w:val="multilevel"/>
    <w:tmpl w:val="DF16E58E"/>
    <w:lvl w:ilvl="0">
      <w:start w:val="1"/>
      <w:numFmt w:val="decimal"/>
      <w:lvlText w:val="%1."/>
      <w:lvlJc w:val="left"/>
      <w:pPr>
        <w:ind w:left="360" w:hanging="360"/>
      </w:pPr>
      <w:rPr>
        <w:rFonts w:ascii="Times New Roman" w:hAnsi="Times New Roman" w:cs="Times New Roman" w:hint="default"/>
        <w:sz w:val="18"/>
        <w:szCs w:val="1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366A39F0"/>
    <w:multiLevelType w:val="hybridMultilevel"/>
    <w:tmpl w:val="1DC6A858"/>
    <w:lvl w:ilvl="0" w:tplc="E4FAF052">
      <w:start w:val="3"/>
      <w:numFmt w:val="decimal"/>
      <w:lvlText w:val="%1.2.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6A0608E"/>
    <w:multiLevelType w:val="hybridMultilevel"/>
    <w:tmpl w:val="C7EE7BD0"/>
    <w:lvl w:ilvl="0" w:tplc="1C484CF6">
      <w:start w:val="3"/>
      <w:numFmt w:val="decimal"/>
      <w:lvlText w:val="%1.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8AE2989"/>
    <w:multiLevelType w:val="hybridMultilevel"/>
    <w:tmpl w:val="8CF65BA4"/>
    <w:lvl w:ilvl="0" w:tplc="02FE1D76">
      <w:start w:val="4"/>
      <w:numFmt w:val="decimal"/>
      <w:lvlText w:val="%1.2.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A9054FA"/>
    <w:multiLevelType w:val="hybridMultilevel"/>
    <w:tmpl w:val="E556D792"/>
    <w:lvl w:ilvl="0" w:tplc="8C7CD81A">
      <w:start w:val="4"/>
      <w:numFmt w:val="decimal"/>
      <w:lvlText w:val="%1.2.1"/>
      <w:lvlJc w:val="left"/>
      <w:pPr>
        <w:ind w:left="720" w:hanging="360"/>
      </w:pPr>
      <w:rPr>
        <w:rFonts w:hint="default"/>
        <w:b/>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B9A39BC"/>
    <w:multiLevelType w:val="hybridMultilevel"/>
    <w:tmpl w:val="008A2AA4"/>
    <w:lvl w:ilvl="0" w:tplc="C14646E4">
      <w:start w:val="4"/>
      <w:numFmt w:val="decimal"/>
      <w:lvlText w:val="%1.2.2.4"/>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EAF0BD4"/>
    <w:multiLevelType w:val="hybridMultilevel"/>
    <w:tmpl w:val="E4B697C8"/>
    <w:lvl w:ilvl="0" w:tplc="3C40C8B2">
      <w:start w:val="2"/>
      <w:numFmt w:val="decimal"/>
      <w:lvlText w:val="%1.3"/>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17C62A7"/>
    <w:multiLevelType w:val="hybridMultilevel"/>
    <w:tmpl w:val="B5E0E04E"/>
    <w:lvl w:ilvl="0" w:tplc="CD1C4AFA">
      <w:start w:val="4"/>
      <w:numFmt w:val="decimal"/>
      <w:lvlText w:val="%1.2.2.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2063427"/>
    <w:multiLevelType w:val="hybridMultilevel"/>
    <w:tmpl w:val="1EFE5D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3874664"/>
    <w:multiLevelType w:val="hybridMultilevel"/>
    <w:tmpl w:val="AE101652"/>
    <w:lvl w:ilvl="0" w:tplc="B8D65928">
      <w:start w:val="1"/>
      <w:numFmt w:val="decimal"/>
      <w:lvlText w:val="%1.5"/>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64B5C62"/>
    <w:multiLevelType w:val="hybridMultilevel"/>
    <w:tmpl w:val="06A2BF60"/>
    <w:lvl w:ilvl="0" w:tplc="A25C275A">
      <w:start w:val="4"/>
      <w:numFmt w:val="decimal"/>
      <w:lvlText w:val="%1.2.2.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88C5527"/>
    <w:multiLevelType w:val="hybridMultilevel"/>
    <w:tmpl w:val="EC389D70"/>
    <w:lvl w:ilvl="0" w:tplc="91088B7E">
      <w:start w:val="4"/>
      <w:numFmt w:val="decimal"/>
      <w:lvlText w:val="%1.1.2.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9EE6502"/>
    <w:multiLevelType w:val="hybridMultilevel"/>
    <w:tmpl w:val="005299B2"/>
    <w:lvl w:ilvl="0" w:tplc="8F482086">
      <w:start w:val="2"/>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7BF7EC3"/>
    <w:multiLevelType w:val="hybridMultilevel"/>
    <w:tmpl w:val="8786982A"/>
    <w:lvl w:ilvl="0" w:tplc="710EB508">
      <w:start w:val="3"/>
      <w:numFmt w:val="decimal"/>
      <w:lvlText w:val="%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8CE1203"/>
    <w:multiLevelType w:val="hybridMultilevel"/>
    <w:tmpl w:val="C9AA00E8"/>
    <w:lvl w:ilvl="0" w:tplc="C98A32F8">
      <w:start w:val="4"/>
      <w:numFmt w:val="decimal"/>
      <w:lvlText w:val="%1.1.3.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A7878E0"/>
    <w:multiLevelType w:val="hybridMultilevel"/>
    <w:tmpl w:val="17B02B9E"/>
    <w:lvl w:ilvl="0" w:tplc="0BBC6FEC">
      <w:start w:val="4"/>
      <w:numFmt w:val="decimal"/>
      <w:lvlText w:val="%1.1.1.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EA24928"/>
    <w:multiLevelType w:val="hybridMultilevel"/>
    <w:tmpl w:val="2C4CA3F4"/>
    <w:lvl w:ilvl="0" w:tplc="A24EF874">
      <w:start w:val="1"/>
      <w:numFmt w:val="decimal"/>
      <w:lvlText w:val="%1.2"/>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02F43BC"/>
    <w:multiLevelType w:val="hybridMultilevel"/>
    <w:tmpl w:val="0F24132C"/>
    <w:lvl w:ilvl="0" w:tplc="1FB25FA8">
      <w:start w:val="3"/>
      <w:numFmt w:val="decimal"/>
      <w:lvlText w:val="%1.2.1.3"/>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05030CF"/>
    <w:multiLevelType w:val="hybridMultilevel"/>
    <w:tmpl w:val="2030292A"/>
    <w:lvl w:ilvl="0" w:tplc="8ADEEEA0">
      <w:start w:val="2"/>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0CA7A4C"/>
    <w:multiLevelType w:val="hybridMultilevel"/>
    <w:tmpl w:val="E2764A58"/>
    <w:lvl w:ilvl="0" w:tplc="D80E1130">
      <w:start w:val="4"/>
      <w:numFmt w:val="decimal"/>
      <w:lvlText w:val="%1.1.3.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0D93D06"/>
    <w:multiLevelType w:val="hybridMultilevel"/>
    <w:tmpl w:val="E4983A96"/>
    <w:lvl w:ilvl="0" w:tplc="214CA9D6">
      <w:start w:val="2"/>
      <w:numFmt w:val="decimal"/>
      <w:lvlText w:val="%1.2"/>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23422A8"/>
    <w:multiLevelType w:val="hybridMultilevel"/>
    <w:tmpl w:val="5FB2C1A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650E1B1F"/>
    <w:multiLevelType w:val="hybridMultilevel"/>
    <w:tmpl w:val="DCCE4982"/>
    <w:lvl w:ilvl="0" w:tplc="0A1E686E">
      <w:start w:val="3"/>
      <w:numFmt w:val="decimal"/>
      <w:lvlText w:val="%1.2.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527566F"/>
    <w:multiLevelType w:val="hybridMultilevel"/>
    <w:tmpl w:val="079E8FB8"/>
    <w:lvl w:ilvl="0" w:tplc="3F4CBAF0">
      <w:start w:val="2"/>
      <w:numFmt w:val="decimal"/>
      <w:lvlText w:val="%1.2.3"/>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54C63A1"/>
    <w:multiLevelType w:val="hybridMultilevel"/>
    <w:tmpl w:val="CF600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7D5332D"/>
    <w:multiLevelType w:val="hybridMultilevel"/>
    <w:tmpl w:val="5A5E4B6C"/>
    <w:lvl w:ilvl="0" w:tplc="2BBC2E22">
      <w:start w:val="4"/>
      <w:numFmt w:val="decimal"/>
      <w:lvlText w:val="%1.1"/>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BCA748B"/>
    <w:multiLevelType w:val="hybridMultilevel"/>
    <w:tmpl w:val="7BA012B2"/>
    <w:lvl w:ilvl="0" w:tplc="34A2BA08">
      <w:start w:val="8"/>
      <w:numFmt w:val="upperLetter"/>
      <w:lvlText w:val="%1.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17F60A4"/>
    <w:multiLevelType w:val="hybridMultilevel"/>
    <w:tmpl w:val="190EB48C"/>
    <w:lvl w:ilvl="0" w:tplc="A68A9E02">
      <w:start w:val="1"/>
      <w:numFmt w:val="upperLetter"/>
      <w:lvlText w:val="%1.5"/>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3FC68FA"/>
    <w:multiLevelType w:val="hybridMultilevel"/>
    <w:tmpl w:val="BB1489E0"/>
    <w:lvl w:ilvl="0" w:tplc="75AA7122">
      <w:start w:val="4"/>
      <w:numFmt w:val="decimal"/>
      <w:lvlText w:val="%1.1.1.2"/>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6F43F97"/>
    <w:multiLevelType w:val="hybridMultilevel"/>
    <w:tmpl w:val="6F7C4EA4"/>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76FE3E9A"/>
    <w:multiLevelType w:val="hybridMultilevel"/>
    <w:tmpl w:val="E89689E6"/>
    <w:lvl w:ilvl="0" w:tplc="D1320FFE">
      <w:start w:val="1"/>
      <w:numFmt w:val="decimal"/>
      <w:lvlText w:val="%1.3"/>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791371F"/>
    <w:multiLevelType w:val="hybridMultilevel"/>
    <w:tmpl w:val="6E82FDD0"/>
    <w:lvl w:ilvl="0" w:tplc="98DCA38A">
      <w:start w:val="4"/>
      <w:numFmt w:val="decimal"/>
      <w:lvlText w:val="%1.3"/>
      <w:lvlJc w:val="left"/>
      <w:pPr>
        <w:ind w:left="720" w:hanging="360"/>
      </w:pPr>
      <w:rPr>
        <w:rFonts w:hint="default"/>
      </w:rPr>
    </w:lvl>
    <w:lvl w:ilvl="1" w:tplc="2AAEA41C">
      <w:start w:val="1"/>
      <w:numFmt w:val="decimal"/>
      <w:lvlText w:val="%2.1"/>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A061B07"/>
    <w:multiLevelType w:val="hybridMultilevel"/>
    <w:tmpl w:val="1242B006"/>
    <w:lvl w:ilvl="0" w:tplc="0E261F38">
      <w:start w:val="1"/>
      <w:numFmt w:val="upperLetter"/>
      <w:lvlText w:val="%1.8"/>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A5F7131"/>
    <w:multiLevelType w:val="hybridMultilevel"/>
    <w:tmpl w:val="8220A386"/>
    <w:lvl w:ilvl="0" w:tplc="6AD6FB86">
      <w:start w:val="1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3"/>
  </w:num>
  <w:num w:numId="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25"/>
  </w:num>
  <w:num w:numId="5">
    <w:abstractNumId w:val="8"/>
  </w:num>
  <w:num w:numId="6">
    <w:abstractNumId w:val="41"/>
  </w:num>
  <w:num w:numId="7">
    <w:abstractNumId w:val="55"/>
  </w:num>
  <w:num w:numId="8">
    <w:abstractNumId w:val="2"/>
  </w:num>
  <w:num w:numId="9">
    <w:abstractNumId w:val="34"/>
  </w:num>
  <w:num w:numId="10">
    <w:abstractNumId w:val="43"/>
  </w:num>
  <w:num w:numId="11">
    <w:abstractNumId w:val="1"/>
  </w:num>
  <w:num w:numId="12">
    <w:abstractNumId w:val="37"/>
  </w:num>
  <w:num w:numId="13">
    <w:abstractNumId w:val="16"/>
  </w:num>
  <w:num w:numId="14">
    <w:abstractNumId w:val="6"/>
  </w:num>
  <w:num w:numId="15">
    <w:abstractNumId w:val="38"/>
  </w:num>
  <w:num w:numId="16">
    <w:abstractNumId w:val="24"/>
  </w:num>
  <w:num w:numId="17">
    <w:abstractNumId w:val="26"/>
  </w:num>
  <w:num w:numId="18">
    <w:abstractNumId w:val="47"/>
  </w:num>
  <w:num w:numId="19">
    <w:abstractNumId w:val="42"/>
  </w:num>
  <w:num w:numId="20">
    <w:abstractNumId w:val="27"/>
  </w:num>
  <w:num w:numId="21">
    <w:abstractNumId w:val="7"/>
  </w:num>
  <w:num w:numId="22">
    <w:abstractNumId w:val="19"/>
  </w:num>
  <w:num w:numId="23">
    <w:abstractNumId w:val="22"/>
  </w:num>
  <w:num w:numId="24">
    <w:abstractNumId w:val="50"/>
  </w:num>
  <w:num w:numId="25">
    <w:abstractNumId w:val="4"/>
  </w:num>
  <w:num w:numId="26">
    <w:abstractNumId w:val="40"/>
  </w:num>
  <w:num w:numId="27">
    <w:abstractNumId w:val="53"/>
  </w:num>
  <w:num w:numId="28">
    <w:abstractNumId w:val="23"/>
  </w:num>
  <w:num w:numId="29">
    <w:abstractNumId w:val="12"/>
  </w:num>
  <w:num w:numId="30">
    <w:abstractNumId w:val="36"/>
  </w:num>
  <w:num w:numId="31">
    <w:abstractNumId w:val="18"/>
  </w:num>
  <w:num w:numId="32">
    <w:abstractNumId w:val="39"/>
  </w:num>
  <w:num w:numId="33">
    <w:abstractNumId w:val="44"/>
  </w:num>
  <w:num w:numId="34">
    <w:abstractNumId w:val="15"/>
  </w:num>
  <w:num w:numId="35">
    <w:abstractNumId w:val="29"/>
  </w:num>
  <w:num w:numId="36">
    <w:abstractNumId w:val="28"/>
  </w:num>
  <w:num w:numId="37">
    <w:abstractNumId w:val="35"/>
  </w:num>
  <w:num w:numId="38">
    <w:abstractNumId w:val="13"/>
  </w:num>
  <w:num w:numId="39">
    <w:abstractNumId w:val="5"/>
  </w:num>
  <w:num w:numId="40">
    <w:abstractNumId w:val="17"/>
  </w:num>
  <w:num w:numId="41">
    <w:abstractNumId w:val="32"/>
  </w:num>
  <w:num w:numId="42">
    <w:abstractNumId w:val="14"/>
  </w:num>
  <w:num w:numId="43">
    <w:abstractNumId w:val="20"/>
  </w:num>
  <w:num w:numId="44">
    <w:abstractNumId w:val="10"/>
  </w:num>
  <w:num w:numId="45">
    <w:abstractNumId w:val="51"/>
  </w:num>
  <w:num w:numId="46">
    <w:abstractNumId w:val="30"/>
  </w:num>
  <w:num w:numId="47">
    <w:abstractNumId w:val="52"/>
  </w:num>
  <w:num w:numId="48">
    <w:abstractNumId w:val="21"/>
  </w:num>
  <w:num w:numId="49">
    <w:abstractNumId w:val="57"/>
  </w:num>
  <w:num w:numId="50">
    <w:abstractNumId w:val="9"/>
  </w:num>
  <w:num w:numId="51">
    <w:abstractNumId w:val="45"/>
  </w:num>
  <w:num w:numId="52">
    <w:abstractNumId w:val="58"/>
  </w:num>
  <w:num w:numId="53">
    <w:abstractNumId w:val="48"/>
  </w:num>
  <w:num w:numId="54">
    <w:abstractNumId w:val="11"/>
  </w:num>
  <w:num w:numId="55">
    <w:abstractNumId w:val="56"/>
  </w:num>
  <w:num w:numId="56">
    <w:abstractNumId w:val="46"/>
  </w:num>
  <w:num w:numId="57">
    <w:abstractNumId w:val="33"/>
  </w:num>
  <w:num w:numId="58">
    <w:abstractNumId w:val="54"/>
  </w:num>
  <w:num w:numId="59">
    <w:abstractNumId w:val="49"/>
  </w:num>
  <w:num w:numId="60">
    <w:abstractNumId w:val="31"/>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proofState w:spelling="clean" w:grammar="clean"/>
  <w:stylePaneFormatFilter w:val="3F01"/>
  <w:defaultTabStop w:val="360"/>
  <w:drawingGridHorizontalSpacing w:val="100"/>
  <w:displayHorizontalDrawingGridEvery w:val="0"/>
  <w:displayVerticalDrawingGridEvery w:val="0"/>
  <w:noPunctuationKerning/>
  <w:characterSpacingControl w:val="doNotCompress"/>
  <w:hdrShapeDefaults>
    <o:shapedefaults v:ext="edit" spidmax="88066"/>
  </w:hdrShapeDefaults>
  <w:footnotePr>
    <w:footnote w:id="-1"/>
    <w:footnote w:id="0"/>
  </w:footnotePr>
  <w:endnotePr>
    <w:endnote w:id="-1"/>
    <w:endnote w:id="0"/>
  </w:endnotePr>
  <w:compat/>
  <w:rsids>
    <w:rsidRoot w:val="00193F10"/>
    <w:rsid w:val="000056C9"/>
    <w:rsid w:val="00011E91"/>
    <w:rsid w:val="00012F10"/>
    <w:rsid w:val="0002058C"/>
    <w:rsid w:val="000206C6"/>
    <w:rsid w:val="000210A6"/>
    <w:rsid w:val="00026EFF"/>
    <w:rsid w:val="000302F1"/>
    <w:rsid w:val="00031735"/>
    <w:rsid w:val="00031A28"/>
    <w:rsid w:val="00033898"/>
    <w:rsid w:val="00034819"/>
    <w:rsid w:val="000360EB"/>
    <w:rsid w:val="00043A0E"/>
    <w:rsid w:val="00050A79"/>
    <w:rsid w:val="00050C2F"/>
    <w:rsid w:val="0005393F"/>
    <w:rsid w:val="00061CB8"/>
    <w:rsid w:val="000620AB"/>
    <w:rsid w:val="000660AB"/>
    <w:rsid w:val="00082F3C"/>
    <w:rsid w:val="000877E0"/>
    <w:rsid w:val="00094F96"/>
    <w:rsid w:val="000B01DD"/>
    <w:rsid w:val="000B3948"/>
    <w:rsid w:val="000B4B28"/>
    <w:rsid w:val="000B4E48"/>
    <w:rsid w:val="000B6368"/>
    <w:rsid w:val="000C0E12"/>
    <w:rsid w:val="000C2AA3"/>
    <w:rsid w:val="000C3548"/>
    <w:rsid w:val="000C5143"/>
    <w:rsid w:val="000D2D73"/>
    <w:rsid w:val="000D55CC"/>
    <w:rsid w:val="000D5D99"/>
    <w:rsid w:val="000E2A20"/>
    <w:rsid w:val="000E42D3"/>
    <w:rsid w:val="000F14B7"/>
    <w:rsid w:val="000F7584"/>
    <w:rsid w:val="000F7ADB"/>
    <w:rsid w:val="00104F2C"/>
    <w:rsid w:val="001071F3"/>
    <w:rsid w:val="00111453"/>
    <w:rsid w:val="001242F3"/>
    <w:rsid w:val="001267D9"/>
    <w:rsid w:val="001270B3"/>
    <w:rsid w:val="001331B0"/>
    <w:rsid w:val="0013420E"/>
    <w:rsid w:val="00134A7E"/>
    <w:rsid w:val="00135AF0"/>
    <w:rsid w:val="0013662D"/>
    <w:rsid w:val="00140CD4"/>
    <w:rsid w:val="001414BA"/>
    <w:rsid w:val="00146279"/>
    <w:rsid w:val="001465AD"/>
    <w:rsid w:val="00146AFD"/>
    <w:rsid w:val="00163F4C"/>
    <w:rsid w:val="00164E28"/>
    <w:rsid w:val="0016543F"/>
    <w:rsid w:val="00165941"/>
    <w:rsid w:val="001659BE"/>
    <w:rsid w:val="00174B60"/>
    <w:rsid w:val="001763BF"/>
    <w:rsid w:val="001771DC"/>
    <w:rsid w:val="00180995"/>
    <w:rsid w:val="0018327E"/>
    <w:rsid w:val="00183942"/>
    <w:rsid w:val="00193F10"/>
    <w:rsid w:val="00194AA6"/>
    <w:rsid w:val="001A2AEC"/>
    <w:rsid w:val="001A4EA5"/>
    <w:rsid w:val="001A61E9"/>
    <w:rsid w:val="001B3054"/>
    <w:rsid w:val="001B4486"/>
    <w:rsid w:val="001B7D54"/>
    <w:rsid w:val="001C1190"/>
    <w:rsid w:val="001C2589"/>
    <w:rsid w:val="001C466A"/>
    <w:rsid w:val="001C4E37"/>
    <w:rsid w:val="001C7560"/>
    <w:rsid w:val="001D022D"/>
    <w:rsid w:val="001D1649"/>
    <w:rsid w:val="001D487F"/>
    <w:rsid w:val="001E2CD6"/>
    <w:rsid w:val="001E3729"/>
    <w:rsid w:val="001F0376"/>
    <w:rsid w:val="001F10B9"/>
    <w:rsid w:val="001F61FB"/>
    <w:rsid w:val="001F6B0E"/>
    <w:rsid w:val="0020060C"/>
    <w:rsid w:val="00201860"/>
    <w:rsid w:val="002035CA"/>
    <w:rsid w:val="00205B18"/>
    <w:rsid w:val="00205E8A"/>
    <w:rsid w:val="002225DD"/>
    <w:rsid w:val="002332F0"/>
    <w:rsid w:val="0023530B"/>
    <w:rsid w:val="0024275B"/>
    <w:rsid w:val="002429CB"/>
    <w:rsid w:val="00245D79"/>
    <w:rsid w:val="00251262"/>
    <w:rsid w:val="00256F53"/>
    <w:rsid w:val="002575B2"/>
    <w:rsid w:val="002579E3"/>
    <w:rsid w:val="00266223"/>
    <w:rsid w:val="00272AD4"/>
    <w:rsid w:val="002772B7"/>
    <w:rsid w:val="00277AE1"/>
    <w:rsid w:val="00281B10"/>
    <w:rsid w:val="0028457F"/>
    <w:rsid w:val="002863DC"/>
    <w:rsid w:val="00286B9B"/>
    <w:rsid w:val="002A28C2"/>
    <w:rsid w:val="002A4EFC"/>
    <w:rsid w:val="002B0EE8"/>
    <w:rsid w:val="002B17DD"/>
    <w:rsid w:val="002B2A75"/>
    <w:rsid w:val="002B4D67"/>
    <w:rsid w:val="002B5290"/>
    <w:rsid w:val="002C095D"/>
    <w:rsid w:val="002C66F8"/>
    <w:rsid w:val="002C6D18"/>
    <w:rsid w:val="002C6E7F"/>
    <w:rsid w:val="002D6991"/>
    <w:rsid w:val="002D6DD4"/>
    <w:rsid w:val="002F0830"/>
    <w:rsid w:val="002F0E6E"/>
    <w:rsid w:val="002F2877"/>
    <w:rsid w:val="002F3B5B"/>
    <w:rsid w:val="002F5FD4"/>
    <w:rsid w:val="002F7D7E"/>
    <w:rsid w:val="0030193B"/>
    <w:rsid w:val="00302012"/>
    <w:rsid w:val="00302267"/>
    <w:rsid w:val="00305E29"/>
    <w:rsid w:val="003110BE"/>
    <w:rsid w:val="0031670D"/>
    <w:rsid w:val="00316918"/>
    <w:rsid w:val="003169D9"/>
    <w:rsid w:val="003175EF"/>
    <w:rsid w:val="0033363A"/>
    <w:rsid w:val="00334B91"/>
    <w:rsid w:val="00336F24"/>
    <w:rsid w:val="003417B3"/>
    <w:rsid w:val="00341FD5"/>
    <w:rsid w:val="00346552"/>
    <w:rsid w:val="00355781"/>
    <w:rsid w:val="00356B70"/>
    <w:rsid w:val="00362B27"/>
    <w:rsid w:val="00364C79"/>
    <w:rsid w:val="00367725"/>
    <w:rsid w:val="00371E4B"/>
    <w:rsid w:val="00372179"/>
    <w:rsid w:val="00380E63"/>
    <w:rsid w:val="003811AC"/>
    <w:rsid w:val="00381E4A"/>
    <w:rsid w:val="003858DE"/>
    <w:rsid w:val="00385AE0"/>
    <w:rsid w:val="0039482F"/>
    <w:rsid w:val="00396DE6"/>
    <w:rsid w:val="003A24E9"/>
    <w:rsid w:val="003A3C29"/>
    <w:rsid w:val="003A492C"/>
    <w:rsid w:val="003B0403"/>
    <w:rsid w:val="003B09D8"/>
    <w:rsid w:val="003B1E0A"/>
    <w:rsid w:val="003B480D"/>
    <w:rsid w:val="003B6828"/>
    <w:rsid w:val="003C0403"/>
    <w:rsid w:val="003D01A0"/>
    <w:rsid w:val="003D34A7"/>
    <w:rsid w:val="003E0A7D"/>
    <w:rsid w:val="003E2FCA"/>
    <w:rsid w:val="003E683A"/>
    <w:rsid w:val="003E6BCF"/>
    <w:rsid w:val="003F1AFB"/>
    <w:rsid w:val="003F62F4"/>
    <w:rsid w:val="003F7444"/>
    <w:rsid w:val="003F7B00"/>
    <w:rsid w:val="004011C1"/>
    <w:rsid w:val="0040246E"/>
    <w:rsid w:val="0040283C"/>
    <w:rsid w:val="00403686"/>
    <w:rsid w:val="00403CAD"/>
    <w:rsid w:val="00407134"/>
    <w:rsid w:val="00412A30"/>
    <w:rsid w:val="0042061A"/>
    <w:rsid w:val="0043123B"/>
    <w:rsid w:val="00432CB4"/>
    <w:rsid w:val="00432E85"/>
    <w:rsid w:val="0043407C"/>
    <w:rsid w:val="004379B1"/>
    <w:rsid w:val="004414F2"/>
    <w:rsid w:val="00442BCF"/>
    <w:rsid w:val="004458BE"/>
    <w:rsid w:val="00446FE7"/>
    <w:rsid w:val="00453087"/>
    <w:rsid w:val="004537E6"/>
    <w:rsid w:val="004554C3"/>
    <w:rsid w:val="004562C7"/>
    <w:rsid w:val="00457402"/>
    <w:rsid w:val="004577CD"/>
    <w:rsid w:val="0046223E"/>
    <w:rsid w:val="00465491"/>
    <w:rsid w:val="00465AFE"/>
    <w:rsid w:val="004702CC"/>
    <w:rsid w:val="004708BD"/>
    <w:rsid w:val="00483FF7"/>
    <w:rsid w:val="00484AC3"/>
    <w:rsid w:val="00487771"/>
    <w:rsid w:val="0049046C"/>
    <w:rsid w:val="0049185E"/>
    <w:rsid w:val="00491F04"/>
    <w:rsid w:val="00495992"/>
    <w:rsid w:val="004973A5"/>
    <w:rsid w:val="004A1A74"/>
    <w:rsid w:val="004B5185"/>
    <w:rsid w:val="004B5624"/>
    <w:rsid w:val="004B6AE4"/>
    <w:rsid w:val="004C0984"/>
    <w:rsid w:val="004C4BFF"/>
    <w:rsid w:val="004D1D9F"/>
    <w:rsid w:val="004D37CA"/>
    <w:rsid w:val="004D4BCC"/>
    <w:rsid w:val="004D5C3F"/>
    <w:rsid w:val="004E0A4A"/>
    <w:rsid w:val="004E10C8"/>
    <w:rsid w:val="004E2AC7"/>
    <w:rsid w:val="004E2C50"/>
    <w:rsid w:val="004E48C8"/>
    <w:rsid w:val="004F3FF3"/>
    <w:rsid w:val="00501D60"/>
    <w:rsid w:val="00502E47"/>
    <w:rsid w:val="00506945"/>
    <w:rsid w:val="0051073B"/>
    <w:rsid w:val="00511785"/>
    <w:rsid w:val="00516AD2"/>
    <w:rsid w:val="00517DEA"/>
    <w:rsid w:val="00521D16"/>
    <w:rsid w:val="00534A88"/>
    <w:rsid w:val="00536EFF"/>
    <w:rsid w:val="00543D6B"/>
    <w:rsid w:val="00544B21"/>
    <w:rsid w:val="005520A0"/>
    <w:rsid w:val="00555EB5"/>
    <w:rsid w:val="00561BFB"/>
    <w:rsid w:val="0056323B"/>
    <w:rsid w:val="00567262"/>
    <w:rsid w:val="00567711"/>
    <w:rsid w:val="0057190E"/>
    <w:rsid w:val="00583DA5"/>
    <w:rsid w:val="00586C1A"/>
    <w:rsid w:val="005A055B"/>
    <w:rsid w:val="005A153D"/>
    <w:rsid w:val="005A37B9"/>
    <w:rsid w:val="005B1BEF"/>
    <w:rsid w:val="005B1DE8"/>
    <w:rsid w:val="005B236F"/>
    <w:rsid w:val="005C0768"/>
    <w:rsid w:val="005C1D58"/>
    <w:rsid w:val="005C4AE3"/>
    <w:rsid w:val="005C63F9"/>
    <w:rsid w:val="005D078A"/>
    <w:rsid w:val="005D2114"/>
    <w:rsid w:val="005E1B78"/>
    <w:rsid w:val="005E36E4"/>
    <w:rsid w:val="005E6213"/>
    <w:rsid w:val="005E6F2D"/>
    <w:rsid w:val="005E7FD3"/>
    <w:rsid w:val="005F5ECA"/>
    <w:rsid w:val="006002EA"/>
    <w:rsid w:val="00601A4C"/>
    <w:rsid w:val="00604F02"/>
    <w:rsid w:val="00604F7F"/>
    <w:rsid w:val="00612F1C"/>
    <w:rsid w:val="00617209"/>
    <w:rsid w:val="00624859"/>
    <w:rsid w:val="00626DF7"/>
    <w:rsid w:val="0063296E"/>
    <w:rsid w:val="00632B5D"/>
    <w:rsid w:val="006349C1"/>
    <w:rsid w:val="0063511C"/>
    <w:rsid w:val="00637821"/>
    <w:rsid w:val="00646ABD"/>
    <w:rsid w:val="00647FDC"/>
    <w:rsid w:val="006519D4"/>
    <w:rsid w:val="0065214A"/>
    <w:rsid w:val="00652AFF"/>
    <w:rsid w:val="006544AA"/>
    <w:rsid w:val="006547D7"/>
    <w:rsid w:val="00660E74"/>
    <w:rsid w:val="00663728"/>
    <w:rsid w:val="00664C7C"/>
    <w:rsid w:val="00674D44"/>
    <w:rsid w:val="0067681B"/>
    <w:rsid w:val="00684184"/>
    <w:rsid w:val="00686486"/>
    <w:rsid w:val="00694A38"/>
    <w:rsid w:val="0069768D"/>
    <w:rsid w:val="006B226C"/>
    <w:rsid w:val="006B68DB"/>
    <w:rsid w:val="006B6EFE"/>
    <w:rsid w:val="006C043E"/>
    <w:rsid w:val="006C0CFC"/>
    <w:rsid w:val="006C0DFE"/>
    <w:rsid w:val="006C2187"/>
    <w:rsid w:val="006C38FB"/>
    <w:rsid w:val="006C423A"/>
    <w:rsid w:val="006C70B8"/>
    <w:rsid w:val="006D5B6F"/>
    <w:rsid w:val="006E0D03"/>
    <w:rsid w:val="006E103A"/>
    <w:rsid w:val="006E244E"/>
    <w:rsid w:val="006E63D0"/>
    <w:rsid w:val="006F1BCF"/>
    <w:rsid w:val="00700CC8"/>
    <w:rsid w:val="00701E65"/>
    <w:rsid w:val="00701FEF"/>
    <w:rsid w:val="0070307C"/>
    <w:rsid w:val="007037AF"/>
    <w:rsid w:val="007120FB"/>
    <w:rsid w:val="007125C8"/>
    <w:rsid w:val="00715429"/>
    <w:rsid w:val="0072572D"/>
    <w:rsid w:val="00726EFE"/>
    <w:rsid w:val="00733BBB"/>
    <w:rsid w:val="007367E7"/>
    <w:rsid w:val="00740680"/>
    <w:rsid w:val="007406CB"/>
    <w:rsid w:val="00741F1A"/>
    <w:rsid w:val="00751EDD"/>
    <w:rsid w:val="00753529"/>
    <w:rsid w:val="00762E18"/>
    <w:rsid w:val="007675AB"/>
    <w:rsid w:val="007747AA"/>
    <w:rsid w:val="0077723C"/>
    <w:rsid w:val="007773E0"/>
    <w:rsid w:val="00780AE0"/>
    <w:rsid w:val="00782ABD"/>
    <w:rsid w:val="00783DCA"/>
    <w:rsid w:val="00784501"/>
    <w:rsid w:val="00785582"/>
    <w:rsid w:val="00786837"/>
    <w:rsid w:val="00786868"/>
    <w:rsid w:val="007A4426"/>
    <w:rsid w:val="007B0A71"/>
    <w:rsid w:val="007C055F"/>
    <w:rsid w:val="007C310C"/>
    <w:rsid w:val="007C7B73"/>
    <w:rsid w:val="007D3C07"/>
    <w:rsid w:val="007E37B6"/>
    <w:rsid w:val="007E5CA3"/>
    <w:rsid w:val="007E65BF"/>
    <w:rsid w:val="007E7E04"/>
    <w:rsid w:val="007E7FB1"/>
    <w:rsid w:val="007F1F2A"/>
    <w:rsid w:val="007F7B7E"/>
    <w:rsid w:val="00802882"/>
    <w:rsid w:val="00814544"/>
    <w:rsid w:val="0081504D"/>
    <w:rsid w:val="0082183E"/>
    <w:rsid w:val="0082281F"/>
    <w:rsid w:val="00835018"/>
    <w:rsid w:val="00835C99"/>
    <w:rsid w:val="00847873"/>
    <w:rsid w:val="00852555"/>
    <w:rsid w:val="00857B7C"/>
    <w:rsid w:val="008603FF"/>
    <w:rsid w:val="008659E9"/>
    <w:rsid w:val="00865D68"/>
    <w:rsid w:val="008673D3"/>
    <w:rsid w:val="0086767E"/>
    <w:rsid w:val="00867B8A"/>
    <w:rsid w:val="00872D68"/>
    <w:rsid w:val="0088069E"/>
    <w:rsid w:val="0088434E"/>
    <w:rsid w:val="008A27B4"/>
    <w:rsid w:val="008A738E"/>
    <w:rsid w:val="008B1DC5"/>
    <w:rsid w:val="008B469F"/>
    <w:rsid w:val="008C1D8E"/>
    <w:rsid w:val="008C365D"/>
    <w:rsid w:val="008D136F"/>
    <w:rsid w:val="008D373E"/>
    <w:rsid w:val="008E4C46"/>
    <w:rsid w:val="008F0BC5"/>
    <w:rsid w:val="008F1052"/>
    <w:rsid w:val="008F5D48"/>
    <w:rsid w:val="008F6D89"/>
    <w:rsid w:val="009022F7"/>
    <w:rsid w:val="0090259B"/>
    <w:rsid w:val="009129D2"/>
    <w:rsid w:val="00912D32"/>
    <w:rsid w:val="00912EF3"/>
    <w:rsid w:val="009150F8"/>
    <w:rsid w:val="009157EF"/>
    <w:rsid w:val="0091595E"/>
    <w:rsid w:val="00915EA8"/>
    <w:rsid w:val="00915F63"/>
    <w:rsid w:val="00917408"/>
    <w:rsid w:val="009206EE"/>
    <w:rsid w:val="00922314"/>
    <w:rsid w:val="00923758"/>
    <w:rsid w:val="0092678F"/>
    <w:rsid w:val="00926C54"/>
    <w:rsid w:val="0093238E"/>
    <w:rsid w:val="00934434"/>
    <w:rsid w:val="00934ECE"/>
    <w:rsid w:val="00937264"/>
    <w:rsid w:val="00942018"/>
    <w:rsid w:val="00942654"/>
    <w:rsid w:val="00945580"/>
    <w:rsid w:val="00947532"/>
    <w:rsid w:val="0095336B"/>
    <w:rsid w:val="00955781"/>
    <w:rsid w:val="009570BF"/>
    <w:rsid w:val="009644DE"/>
    <w:rsid w:val="00964F1C"/>
    <w:rsid w:val="009669C3"/>
    <w:rsid w:val="00972447"/>
    <w:rsid w:val="00975EF0"/>
    <w:rsid w:val="00984BB5"/>
    <w:rsid w:val="00986275"/>
    <w:rsid w:val="00986AF7"/>
    <w:rsid w:val="00986E18"/>
    <w:rsid w:val="009920A6"/>
    <w:rsid w:val="009932CF"/>
    <w:rsid w:val="009940A3"/>
    <w:rsid w:val="00994FAF"/>
    <w:rsid w:val="00997B32"/>
    <w:rsid w:val="009A0881"/>
    <w:rsid w:val="009A1E14"/>
    <w:rsid w:val="009A3E6D"/>
    <w:rsid w:val="009A486C"/>
    <w:rsid w:val="009B0AA3"/>
    <w:rsid w:val="009B32D2"/>
    <w:rsid w:val="009B6CC8"/>
    <w:rsid w:val="009D0EDE"/>
    <w:rsid w:val="009E2740"/>
    <w:rsid w:val="009E458E"/>
    <w:rsid w:val="009E641F"/>
    <w:rsid w:val="009F1CF4"/>
    <w:rsid w:val="009F1EA2"/>
    <w:rsid w:val="009F397F"/>
    <w:rsid w:val="009F5B6B"/>
    <w:rsid w:val="00A0027D"/>
    <w:rsid w:val="00A004DE"/>
    <w:rsid w:val="00A05AFB"/>
    <w:rsid w:val="00A1032B"/>
    <w:rsid w:val="00A11F9A"/>
    <w:rsid w:val="00A132A9"/>
    <w:rsid w:val="00A1478D"/>
    <w:rsid w:val="00A2063A"/>
    <w:rsid w:val="00A207FF"/>
    <w:rsid w:val="00A2097B"/>
    <w:rsid w:val="00A22FAA"/>
    <w:rsid w:val="00A23CFF"/>
    <w:rsid w:val="00A2522D"/>
    <w:rsid w:val="00A36A71"/>
    <w:rsid w:val="00A40F13"/>
    <w:rsid w:val="00A41FEA"/>
    <w:rsid w:val="00A5626E"/>
    <w:rsid w:val="00A571AF"/>
    <w:rsid w:val="00A70274"/>
    <w:rsid w:val="00A71A72"/>
    <w:rsid w:val="00A763A9"/>
    <w:rsid w:val="00A82256"/>
    <w:rsid w:val="00A849E5"/>
    <w:rsid w:val="00A84D12"/>
    <w:rsid w:val="00A90686"/>
    <w:rsid w:val="00A938D5"/>
    <w:rsid w:val="00A948F3"/>
    <w:rsid w:val="00AA4503"/>
    <w:rsid w:val="00AB5155"/>
    <w:rsid w:val="00AB53A9"/>
    <w:rsid w:val="00AB7359"/>
    <w:rsid w:val="00AC368F"/>
    <w:rsid w:val="00AD1E8D"/>
    <w:rsid w:val="00AD6032"/>
    <w:rsid w:val="00AF0BB6"/>
    <w:rsid w:val="00B0275E"/>
    <w:rsid w:val="00B02815"/>
    <w:rsid w:val="00B079AB"/>
    <w:rsid w:val="00B100A3"/>
    <w:rsid w:val="00B103DE"/>
    <w:rsid w:val="00B11F72"/>
    <w:rsid w:val="00B127A2"/>
    <w:rsid w:val="00B13659"/>
    <w:rsid w:val="00B17204"/>
    <w:rsid w:val="00B26111"/>
    <w:rsid w:val="00B273A3"/>
    <w:rsid w:val="00B27643"/>
    <w:rsid w:val="00B30745"/>
    <w:rsid w:val="00B32930"/>
    <w:rsid w:val="00B32B69"/>
    <w:rsid w:val="00B37A97"/>
    <w:rsid w:val="00B514A7"/>
    <w:rsid w:val="00B51710"/>
    <w:rsid w:val="00B52906"/>
    <w:rsid w:val="00B56E63"/>
    <w:rsid w:val="00B639D1"/>
    <w:rsid w:val="00B72507"/>
    <w:rsid w:val="00B72E41"/>
    <w:rsid w:val="00B7612C"/>
    <w:rsid w:val="00B87593"/>
    <w:rsid w:val="00B876C1"/>
    <w:rsid w:val="00B9354A"/>
    <w:rsid w:val="00B93CD4"/>
    <w:rsid w:val="00BA5608"/>
    <w:rsid w:val="00BB1087"/>
    <w:rsid w:val="00BB1CDF"/>
    <w:rsid w:val="00BB4B20"/>
    <w:rsid w:val="00BB56B5"/>
    <w:rsid w:val="00BB5FF0"/>
    <w:rsid w:val="00BC2743"/>
    <w:rsid w:val="00BC4F4E"/>
    <w:rsid w:val="00BC5729"/>
    <w:rsid w:val="00BC6C97"/>
    <w:rsid w:val="00BD12ED"/>
    <w:rsid w:val="00BE0F0E"/>
    <w:rsid w:val="00BE2F2C"/>
    <w:rsid w:val="00BF0426"/>
    <w:rsid w:val="00BF1699"/>
    <w:rsid w:val="00BF49AB"/>
    <w:rsid w:val="00C02BEB"/>
    <w:rsid w:val="00C03F58"/>
    <w:rsid w:val="00C06C6D"/>
    <w:rsid w:val="00C06E5E"/>
    <w:rsid w:val="00C07981"/>
    <w:rsid w:val="00C1565E"/>
    <w:rsid w:val="00C2187E"/>
    <w:rsid w:val="00C24A76"/>
    <w:rsid w:val="00C2703A"/>
    <w:rsid w:val="00C31A09"/>
    <w:rsid w:val="00C31D3F"/>
    <w:rsid w:val="00C33C0C"/>
    <w:rsid w:val="00C451C4"/>
    <w:rsid w:val="00C502D1"/>
    <w:rsid w:val="00C5366F"/>
    <w:rsid w:val="00C6430A"/>
    <w:rsid w:val="00C66E7D"/>
    <w:rsid w:val="00C74A87"/>
    <w:rsid w:val="00C7510F"/>
    <w:rsid w:val="00C755DE"/>
    <w:rsid w:val="00C80B06"/>
    <w:rsid w:val="00C81388"/>
    <w:rsid w:val="00C82D83"/>
    <w:rsid w:val="00C840CC"/>
    <w:rsid w:val="00C87682"/>
    <w:rsid w:val="00C87917"/>
    <w:rsid w:val="00C90E60"/>
    <w:rsid w:val="00C94DCE"/>
    <w:rsid w:val="00C95A1F"/>
    <w:rsid w:val="00CA0826"/>
    <w:rsid w:val="00CA2E19"/>
    <w:rsid w:val="00CA3B77"/>
    <w:rsid w:val="00CB0846"/>
    <w:rsid w:val="00CB3829"/>
    <w:rsid w:val="00CB7426"/>
    <w:rsid w:val="00CB75EE"/>
    <w:rsid w:val="00CC32A1"/>
    <w:rsid w:val="00CC4936"/>
    <w:rsid w:val="00CD0B46"/>
    <w:rsid w:val="00CF3B91"/>
    <w:rsid w:val="00D07B72"/>
    <w:rsid w:val="00D1033E"/>
    <w:rsid w:val="00D1773B"/>
    <w:rsid w:val="00D2250E"/>
    <w:rsid w:val="00D24F36"/>
    <w:rsid w:val="00D262B1"/>
    <w:rsid w:val="00D36848"/>
    <w:rsid w:val="00D429EB"/>
    <w:rsid w:val="00D4398E"/>
    <w:rsid w:val="00D51D78"/>
    <w:rsid w:val="00D5628E"/>
    <w:rsid w:val="00D56D80"/>
    <w:rsid w:val="00D727AB"/>
    <w:rsid w:val="00D756CB"/>
    <w:rsid w:val="00D8265A"/>
    <w:rsid w:val="00D84B88"/>
    <w:rsid w:val="00D878FA"/>
    <w:rsid w:val="00D95CA8"/>
    <w:rsid w:val="00DA04BF"/>
    <w:rsid w:val="00DA2116"/>
    <w:rsid w:val="00DA249B"/>
    <w:rsid w:val="00DA281E"/>
    <w:rsid w:val="00DA3634"/>
    <w:rsid w:val="00DA4D8D"/>
    <w:rsid w:val="00DB4E11"/>
    <w:rsid w:val="00DB653E"/>
    <w:rsid w:val="00DC4683"/>
    <w:rsid w:val="00DC48A2"/>
    <w:rsid w:val="00DD3230"/>
    <w:rsid w:val="00DD4113"/>
    <w:rsid w:val="00DD4C66"/>
    <w:rsid w:val="00DE0885"/>
    <w:rsid w:val="00DE15E2"/>
    <w:rsid w:val="00DE1A30"/>
    <w:rsid w:val="00DE2330"/>
    <w:rsid w:val="00DE3B06"/>
    <w:rsid w:val="00DE5237"/>
    <w:rsid w:val="00DF07A0"/>
    <w:rsid w:val="00DF116E"/>
    <w:rsid w:val="00DF4A32"/>
    <w:rsid w:val="00E00B89"/>
    <w:rsid w:val="00E02E12"/>
    <w:rsid w:val="00E02FC3"/>
    <w:rsid w:val="00E10E25"/>
    <w:rsid w:val="00E11096"/>
    <w:rsid w:val="00E15D2F"/>
    <w:rsid w:val="00E2010B"/>
    <w:rsid w:val="00E22553"/>
    <w:rsid w:val="00E23803"/>
    <w:rsid w:val="00E26BD0"/>
    <w:rsid w:val="00E42819"/>
    <w:rsid w:val="00E45BD3"/>
    <w:rsid w:val="00E50051"/>
    <w:rsid w:val="00E541E5"/>
    <w:rsid w:val="00E5795E"/>
    <w:rsid w:val="00E607EE"/>
    <w:rsid w:val="00E61A85"/>
    <w:rsid w:val="00E632F2"/>
    <w:rsid w:val="00E65554"/>
    <w:rsid w:val="00E72767"/>
    <w:rsid w:val="00E75228"/>
    <w:rsid w:val="00E77A3C"/>
    <w:rsid w:val="00E84B3B"/>
    <w:rsid w:val="00E86303"/>
    <w:rsid w:val="00E9196D"/>
    <w:rsid w:val="00E94A9E"/>
    <w:rsid w:val="00E96951"/>
    <w:rsid w:val="00EA37DE"/>
    <w:rsid w:val="00EA56A0"/>
    <w:rsid w:val="00EA5BE2"/>
    <w:rsid w:val="00EB4B03"/>
    <w:rsid w:val="00EC1565"/>
    <w:rsid w:val="00EC1F66"/>
    <w:rsid w:val="00EC344E"/>
    <w:rsid w:val="00EC48B5"/>
    <w:rsid w:val="00EC5EEC"/>
    <w:rsid w:val="00ED040C"/>
    <w:rsid w:val="00ED0578"/>
    <w:rsid w:val="00ED0C48"/>
    <w:rsid w:val="00ED4762"/>
    <w:rsid w:val="00EE03B1"/>
    <w:rsid w:val="00EE226E"/>
    <w:rsid w:val="00EE2F84"/>
    <w:rsid w:val="00EE6112"/>
    <w:rsid w:val="00EE7E1C"/>
    <w:rsid w:val="00EF0CC9"/>
    <w:rsid w:val="00EF2A7F"/>
    <w:rsid w:val="00EF3704"/>
    <w:rsid w:val="00F0283F"/>
    <w:rsid w:val="00F0411A"/>
    <w:rsid w:val="00F042AD"/>
    <w:rsid w:val="00F0430A"/>
    <w:rsid w:val="00F07071"/>
    <w:rsid w:val="00F14878"/>
    <w:rsid w:val="00F15277"/>
    <w:rsid w:val="00F17276"/>
    <w:rsid w:val="00F20F84"/>
    <w:rsid w:val="00F37ECE"/>
    <w:rsid w:val="00F41303"/>
    <w:rsid w:val="00F53408"/>
    <w:rsid w:val="00F5368C"/>
    <w:rsid w:val="00F55BE4"/>
    <w:rsid w:val="00F71458"/>
    <w:rsid w:val="00F722ED"/>
    <w:rsid w:val="00F7325F"/>
    <w:rsid w:val="00F75608"/>
    <w:rsid w:val="00F77D22"/>
    <w:rsid w:val="00F8251C"/>
    <w:rsid w:val="00F87DAB"/>
    <w:rsid w:val="00F9263B"/>
    <w:rsid w:val="00F9414C"/>
    <w:rsid w:val="00F94821"/>
    <w:rsid w:val="00FA02AE"/>
    <w:rsid w:val="00FA079D"/>
    <w:rsid w:val="00FA0FE8"/>
    <w:rsid w:val="00FA6292"/>
    <w:rsid w:val="00FB0358"/>
    <w:rsid w:val="00FB20CC"/>
    <w:rsid w:val="00FB296F"/>
    <w:rsid w:val="00FB395B"/>
    <w:rsid w:val="00FB3BB9"/>
    <w:rsid w:val="00FD288D"/>
    <w:rsid w:val="00FD78D6"/>
    <w:rsid w:val="00FE1398"/>
    <w:rsid w:val="00FE2ABF"/>
    <w:rsid w:val="00FF26DA"/>
    <w:rsid w:val="00FF2BBB"/>
    <w:rsid w:val="00FF39C6"/>
    <w:rsid w:val="00FF6CE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Street"/>
  <w:shapeDefaults>
    <o:shapedefaults v:ext="edit" spidmax="88066"/>
    <o:shapelayout v:ext="edit">
      <o:idmap v:ext="edit" data="1"/>
      <o:rules v:ext="edit">
        <o:r id="V:Rule2"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3634"/>
  </w:style>
  <w:style w:type="paragraph" w:styleId="Heading1">
    <w:name w:val="heading 1"/>
    <w:basedOn w:val="Normal"/>
    <w:next w:val="Normal"/>
    <w:qFormat/>
    <w:rsid w:val="00DA3634"/>
    <w:pPr>
      <w:keepNext/>
      <w:spacing w:after="120"/>
      <w:ind w:left="634"/>
      <w:outlineLvl w:val="0"/>
    </w:pPr>
    <w:rPr>
      <w:sz w:val="28"/>
    </w:rPr>
  </w:style>
  <w:style w:type="paragraph" w:styleId="Heading2">
    <w:name w:val="heading 2"/>
    <w:basedOn w:val="Normal"/>
    <w:next w:val="Normal"/>
    <w:qFormat/>
    <w:rsid w:val="00DA3634"/>
    <w:pPr>
      <w:keepNext/>
      <w:ind w:left="630"/>
      <w:outlineLvl w:val="1"/>
    </w:pPr>
    <w:rPr>
      <w:i/>
      <w:sz w:val="23"/>
    </w:rPr>
  </w:style>
  <w:style w:type="paragraph" w:styleId="Heading3">
    <w:name w:val="heading 3"/>
    <w:basedOn w:val="Normal"/>
    <w:next w:val="Normal"/>
    <w:qFormat/>
    <w:rsid w:val="00DA3634"/>
    <w:pPr>
      <w:keepNext/>
      <w:jc w:val="center"/>
      <w:outlineLvl w:val="2"/>
    </w:pPr>
    <w:rPr>
      <w:sz w:val="28"/>
    </w:rPr>
  </w:style>
  <w:style w:type="paragraph" w:styleId="Heading4">
    <w:name w:val="heading 4"/>
    <w:basedOn w:val="Normal"/>
    <w:next w:val="Normal"/>
    <w:qFormat/>
    <w:rsid w:val="00DA3634"/>
    <w:pPr>
      <w:keepNext/>
      <w:jc w:val="center"/>
      <w:outlineLvl w:val="3"/>
    </w:pPr>
    <w:rPr>
      <w:b/>
      <w:sz w:val="22"/>
    </w:rPr>
  </w:style>
  <w:style w:type="paragraph" w:styleId="Heading5">
    <w:name w:val="heading 5"/>
    <w:basedOn w:val="Normal"/>
    <w:next w:val="Normal"/>
    <w:qFormat/>
    <w:rsid w:val="00DA3634"/>
    <w:pPr>
      <w:keepNext/>
      <w:spacing w:after="120"/>
      <w:ind w:left="720"/>
      <w:outlineLvl w:val="4"/>
    </w:pPr>
    <w:rPr>
      <w:b/>
      <w:sz w:val="22"/>
    </w:rPr>
  </w:style>
  <w:style w:type="paragraph" w:styleId="Heading6">
    <w:name w:val="heading 6"/>
    <w:basedOn w:val="Normal"/>
    <w:next w:val="Normal"/>
    <w:qFormat/>
    <w:rsid w:val="00DA3634"/>
    <w:pPr>
      <w:keepNext/>
      <w:jc w:val="center"/>
      <w:outlineLvl w:val="5"/>
    </w:pPr>
    <w:rPr>
      <w:b/>
      <w:sz w:val="24"/>
    </w:rPr>
  </w:style>
  <w:style w:type="paragraph" w:styleId="Heading7">
    <w:name w:val="heading 7"/>
    <w:basedOn w:val="Normal"/>
    <w:next w:val="Normal"/>
    <w:qFormat/>
    <w:rsid w:val="00DA3634"/>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DA3634"/>
    <w:pPr>
      <w:keepNext/>
      <w:spacing w:after="120"/>
      <w:outlineLvl w:val="7"/>
    </w:pPr>
    <w:rPr>
      <w:b/>
      <w:caps/>
      <w:sz w:val="22"/>
    </w:rPr>
  </w:style>
  <w:style w:type="paragraph" w:styleId="Heading9">
    <w:name w:val="heading 9"/>
    <w:basedOn w:val="Normal"/>
    <w:next w:val="Normal"/>
    <w:qFormat/>
    <w:rsid w:val="00DA3634"/>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DA3634"/>
    <w:rPr>
      <w:vertAlign w:val="superscript"/>
    </w:rPr>
  </w:style>
  <w:style w:type="paragraph" w:styleId="Header">
    <w:name w:val="header"/>
    <w:basedOn w:val="Normal"/>
    <w:rsid w:val="00DA3634"/>
    <w:pPr>
      <w:tabs>
        <w:tab w:val="center" w:pos="4320"/>
        <w:tab w:val="right" w:pos="8640"/>
      </w:tabs>
    </w:pPr>
  </w:style>
  <w:style w:type="character" w:styleId="PageNumber">
    <w:name w:val="page number"/>
    <w:basedOn w:val="DefaultParagraphFont"/>
    <w:rsid w:val="00DA3634"/>
  </w:style>
  <w:style w:type="paragraph" w:styleId="Footer">
    <w:name w:val="footer"/>
    <w:basedOn w:val="Normal"/>
    <w:rsid w:val="00DA3634"/>
    <w:pPr>
      <w:tabs>
        <w:tab w:val="center" w:pos="4320"/>
        <w:tab w:val="right" w:pos="8640"/>
      </w:tabs>
    </w:pPr>
  </w:style>
  <w:style w:type="paragraph" w:styleId="BodyTextIndent">
    <w:name w:val="Body Text Indent"/>
    <w:basedOn w:val="Normal"/>
    <w:rsid w:val="00DA3634"/>
    <w:pPr>
      <w:spacing w:after="120"/>
      <w:ind w:left="634"/>
    </w:pPr>
    <w:rPr>
      <w:sz w:val="24"/>
    </w:rPr>
  </w:style>
  <w:style w:type="paragraph" w:styleId="BodyTextIndent2">
    <w:name w:val="Body Text Indent 2"/>
    <w:basedOn w:val="Normal"/>
    <w:rsid w:val="00DA3634"/>
    <w:pPr>
      <w:tabs>
        <w:tab w:val="left" w:pos="630"/>
      </w:tabs>
      <w:spacing w:after="120"/>
      <w:ind w:left="630"/>
    </w:pPr>
    <w:rPr>
      <w:sz w:val="24"/>
    </w:rPr>
  </w:style>
  <w:style w:type="paragraph" w:styleId="BodyTextIndent3">
    <w:name w:val="Body Text Indent 3"/>
    <w:basedOn w:val="Normal"/>
    <w:rsid w:val="00DA3634"/>
    <w:pPr>
      <w:spacing w:before="240" w:after="120"/>
      <w:ind w:left="634"/>
      <w:jc w:val="center"/>
    </w:pPr>
    <w:rPr>
      <w:caps/>
      <w:sz w:val="24"/>
    </w:rPr>
  </w:style>
  <w:style w:type="paragraph" w:styleId="BodyText2">
    <w:name w:val="Body Text 2"/>
    <w:basedOn w:val="Normal"/>
    <w:rsid w:val="00DA3634"/>
    <w:pPr>
      <w:numPr>
        <w:ilvl w:val="12"/>
      </w:numPr>
      <w:spacing w:after="120"/>
      <w:jc w:val="both"/>
    </w:pPr>
    <w:rPr>
      <w:sz w:val="22"/>
    </w:rPr>
  </w:style>
  <w:style w:type="paragraph" w:styleId="Title">
    <w:name w:val="Title"/>
    <w:basedOn w:val="Normal"/>
    <w:qFormat/>
    <w:rsid w:val="00DA3634"/>
    <w:pPr>
      <w:jc w:val="center"/>
    </w:pPr>
    <w:rPr>
      <w:b/>
      <w:sz w:val="24"/>
    </w:rPr>
  </w:style>
  <w:style w:type="paragraph" w:styleId="BodyText">
    <w:name w:val="Body Text"/>
    <w:aliases w:val="SCA Body Text,SCA Body Text1,SCA Body Text2,SCA Body Text11,BodyText-JEA,BT-JEA"/>
    <w:basedOn w:val="Normal"/>
    <w:rsid w:val="00DA3634"/>
    <w:pPr>
      <w:spacing w:after="120"/>
    </w:pPr>
    <w:rPr>
      <w:sz w:val="24"/>
    </w:rPr>
  </w:style>
  <w:style w:type="paragraph" w:styleId="BodyText3">
    <w:name w:val="Body Text 3"/>
    <w:basedOn w:val="Normal"/>
    <w:rsid w:val="00DA3634"/>
    <w:pPr>
      <w:spacing w:before="120" w:after="120"/>
    </w:pPr>
    <w:rPr>
      <w:sz w:val="22"/>
    </w:rPr>
  </w:style>
  <w:style w:type="paragraph" w:customStyle="1" w:styleId="Style4">
    <w:name w:val="Style4"/>
    <w:next w:val="Normal"/>
    <w:rsid w:val="00DA3634"/>
    <w:rPr>
      <w:noProof/>
      <w:sz w:val="24"/>
    </w:rPr>
  </w:style>
  <w:style w:type="paragraph" w:styleId="BlockText">
    <w:name w:val="Block Text"/>
    <w:basedOn w:val="Normal"/>
    <w:rsid w:val="00DA3634"/>
    <w:pPr>
      <w:spacing w:after="120"/>
      <w:ind w:left="720" w:right="43"/>
      <w:jc w:val="both"/>
    </w:pPr>
    <w:rPr>
      <w:sz w:val="22"/>
    </w:rPr>
  </w:style>
  <w:style w:type="character" w:styleId="Hyperlink">
    <w:name w:val="Hyperlink"/>
    <w:basedOn w:val="DefaultParagraphFont"/>
    <w:rsid w:val="00DA3634"/>
    <w:rPr>
      <w:color w:val="0000FF"/>
      <w:u w:val="single"/>
    </w:rPr>
  </w:style>
  <w:style w:type="paragraph" w:customStyle="1" w:styleId="SCATableHeading">
    <w:name w:val="SCA Table Heading"/>
    <w:basedOn w:val="Normal"/>
    <w:rsid w:val="00DA3634"/>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table" w:styleId="TableGrid">
    <w:name w:val="Table Grid"/>
    <w:basedOn w:val="TableNormal"/>
    <w:uiPriority w:val="59"/>
    <w:rsid w:val="00D84B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C33C0C"/>
    <w:pPr>
      <w:spacing w:before="100" w:beforeAutospacing="1" w:after="100" w:afterAutospacing="1"/>
    </w:pPr>
    <w:rPr>
      <w:sz w:val="24"/>
      <w:szCs w:val="24"/>
    </w:rPr>
  </w:style>
  <w:style w:type="paragraph" w:styleId="BalloonText">
    <w:name w:val="Balloon Text"/>
    <w:basedOn w:val="Normal"/>
    <w:link w:val="BalloonTextChar"/>
    <w:uiPriority w:val="99"/>
    <w:rsid w:val="00A71A72"/>
    <w:rPr>
      <w:rFonts w:ascii="Tahoma" w:hAnsi="Tahoma" w:cs="Tahoma"/>
      <w:sz w:val="16"/>
      <w:szCs w:val="16"/>
    </w:rPr>
  </w:style>
  <w:style w:type="character" w:customStyle="1" w:styleId="BalloonTextChar">
    <w:name w:val="Balloon Text Char"/>
    <w:basedOn w:val="DefaultParagraphFont"/>
    <w:link w:val="BalloonText"/>
    <w:uiPriority w:val="99"/>
    <w:rsid w:val="00A71A72"/>
    <w:rPr>
      <w:rFonts w:ascii="Tahoma" w:hAnsi="Tahoma" w:cs="Tahoma"/>
      <w:sz w:val="16"/>
      <w:szCs w:val="16"/>
    </w:rPr>
  </w:style>
  <w:style w:type="character" w:styleId="FollowedHyperlink">
    <w:name w:val="FollowedHyperlink"/>
    <w:basedOn w:val="DefaultParagraphFont"/>
    <w:rsid w:val="00986E18"/>
    <w:rPr>
      <w:color w:val="800080"/>
      <w:u w:val="single"/>
    </w:rPr>
  </w:style>
  <w:style w:type="paragraph" w:styleId="ListParagraph">
    <w:name w:val="List Paragraph"/>
    <w:basedOn w:val="Normal"/>
    <w:uiPriority w:val="34"/>
    <w:qFormat/>
    <w:rsid w:val="00163F4C"/>
    <w:pPr>
      <w:spacing w:after="200" w:line="276" w:lineRule="auto"/>
      <w:ind w:left="720"/>
      <w:contextualSpacing/>
    </w:pPr>
    <w:rPr>
      <w:rFonts w:asciiTheme="minorHAnsi" w:eastAsiaTheme="minorHAnsi" w:hAnsiTheme="minorHAnsi" w:cstheme="minorBidi"/>
      <w:sz w:val="22"/>
      <w:szCs w:val="22"/>
    </w:rPr>
  </w:style>
  <w:style w:type="paragraph" w:styleId="Caption">
    <w:name w:val="caption"/>
    <w:basedOn w:val="Normal"/>
    <w:next w:val="Normal"/>
    <w:qFormat/>
    <w:rsid w:val="00D8265A"/>
    <w:pPr>
      <w:spacing w:before="360" w:after="120"/>
    </w:pPr>
    <w:rPr>
      <w:b/>
      <w:caps/>
      <w:sz w:val="22"/>
    </w:rPr>
  </w:style>
  <w:style w:type="paragraph" w:styleId="FootnoteText">
    <w:name w:val="footnote text"/>
    <w:basedOn w:val="Normal"/>
    <w:link w:val="FootnoteTextChar"/>
    <w:rsid w:val="00AD6032"/>
  </w:style>
  <w:style w:type="character" w:customStyle="1" w:styleId="FootnoteTextChar">
    <w:name w:val="Footnote Text Char"/>
    <w:basedOn w:val="DefaultParagraphFont"/>
    <w:link w:val="FootnoteText"/>
    <w:rsid w:val="00AD6032"/>
  </w:style>
  <w:style w:type="character" w:styleId="FootnoteReference">
    <w:name w:val="footnote reference"/>
    <w:basedOn w:val="DefaultParagraphFont"/>
    <w:rsid w:val="00AD6032"/>
    <w:rPr>
      <w:vertAlign w:val="superscript"/>
    </w:rPr>
  </w:style>
</w:styles>
</file>

<file path=word/webSettings.xml><?xml version="1.0" encoding="utf-8"?>
<w:webSettings xmlns:r="http://schemas.openxmlformats.org/officeDocument/2006/relationships" xmlns:w="http://schemas.openxmlformats.org/wordprocessingml/2006/main">
  <w:divs>
    <w:div w:id="198787766">
      <w:bodyDiv w:val="1"/>
      <w:marLeft w:val="0"/>
      <w:marRight w:val="0"/>
      <w:marTop w:val="0"/>
      <w:marBottom w:val="0"/>
      <w:divBdr>
        <w:top w:val="none" w:sz="0" w:space="0" w:color="auto"/>
        <w:left w:val="none" w:sz="0" w:space="0" w:color="auto"/>
        <w:bottom w:val="none" w:sz="0" w:space="0" w:color="auto"/>
        <w:right w:val="none" w:sz="0" w:space="0" w:color="auto"/>
      </w:divBdr>
      <w:divsChild>
        <w:div w:id="793332658">
          <w:marLeft w:val="0"/>
          <w:marRight w:val="0"/>
          <w:marTop w:val="0"/>
          <w:marBottom w:val="0"/>
          <w:divBdr>
            <w:top w:val="none" w:sz="0" w:space="0" w:color="auto"/>
            <w:left w:val="none" w:sz="0" w:space="0" w:color="auto"/>
            <w:bottom w:val="none" w:sz="0" w:space="0" w:color="auto"/>
            <w:right w:val="none" w:sz="0" w:space="0" w:color="auto"/>
          </w:divBdr>
          <w:divsChild>
            <w:div w:id="217861867">
              <w:marLeft w:val="0"/>
              <w:marRight w:val="0"/>
              <w:marTop w:val="0"/>
              <w:marBottom w:val="0"/>
              <w:divBdr>
                <w:top w:val="none" w:sz="0" w:space="0" w:color="auto"/>
                <w:left w:val="none" w:sz="0" w:space="0" w:color="auto"/>
                <w:bottom w:val="none" w:sz="0" w:space="0" w:color="auto"/>
                <w:right w:val="none" w:sz="0" w:space="0" w:color="auto"/>
              </w:divBdr>
              <w:divsChild>
                <w:div w:id="1979218549">
                  <w:marLeft w:val="0"/>
                  <w:marRight w:val="0"/>
                  <w:marTop w:val="0"/>
                  <w:marBottom w:val="0"/>
                  <w:divBdr>
                    <w:top w:val="none" w:sz="0" w:space="0" w:color="auto"/>
                    <w:left w:val="none" w:sz="0" w:space="0" w:color="auto"/>
                    <w:bottom w:val="none" w:sz="0" w:space="0" w:color="auto"/>
                    <w:right w:val="none" w:sz="0" w:space="0" w:color="auto"/>
                  </w:divBdr>
                  <w:divsChild>
                    <w:div w:id="700322130">
                      <w:marLeft w:val="0"/>
                      <w:marRight w:val="0"/>
                      <w:marTop w:val="0"/>
                      <w:marBottom w:val="0"/>
                      <w:divBdr>
                        <w:top w:val="none" w:sz="0" w:space="0" w:color="auto"/>
                        <w:left w:val="none" w:sz="0" w:space="0" w:color="auto"/>
                        <w:bottom w:val="none" w:sz="0" w:space="0" w:color="auto"/>
                        <w:right w:val="none" w:sz="0" w:space="0" w:color="auto"/>
                      </w:divBdr>
                      <w:divsChild>
                        <w:div w:id="1949462173">
                          <w:marLeft w:val="0"/>
                          <w:marRight w:val="0"/>
                          <w:marTop w:val="0"/>
                          <w:marBottom w:val="0"/>
                          <w:divBdr>
                            <w:top w:val="none" w:sz="0" w:space="0" w:color="auto"/>
                            <w:left w:val="none" w:sz="0" w:space="0" w:color="auto"/>
                            <w:bottom w:val="none" w:sz="0" w:space="0" w:color="auto"/>
                            <w:right w:val="none" w:sz="0" w:space="0" w:color="auto"/>
                          </w:divBdr>
                          <w:divsChild>
                            <w:div w:id="386998451">
                              <w:marLeft w:val="0"/>
                              <w:marRight w:val="0"/>
                              <w:marTop w:val="0"/>
                              <w:marBottom w:val="0"/>
                              <w:divBdr>
                                <w:top w:val="none" w:sz="0" w:space="0" w:color="auto"/>
                                <w:left w:val="none" w:sz="0" w:space="0" w:color="auto"/>
                                <w:bottom w:val="none" w:sz="0" w:space="0" w:color="auto"/>
                                <w:right w:val="none" w:sz="0" w:space="0" w:color="auto"/>
                              </w:divBdr>
                              <w:divsChild>
                                <w:div w:id="1312563857">
                                  <w:marLeft w:val="0"/>
                                  <w:marRight w:val="0"/>
                                  <w:marTop w:val="0"/>
                                  <w:marBottom w:val="0"/>
                                  <w:divBdr>
                                    <w:top w:val="none" w:sz="0" w:space="0" w:color="auto"/>
                                    <w:left w:val="none" w:sz="0" w:space="0" w:color="auto"/>
                                    <w:bottom w:val="none" w:sz="0" w:space="0" w:color="auto"/>
                                    <w:right w:val="none" w:sz="0" w:space="0" w:color="auto"/>
                                  </w:divBdr>
                                  <w:divsChild>
                                    <w:div w:id="52686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5830740">
      <w:bodyDiv w:val="1"/>
      <w:marLeft w:val="0"/>
      <w:marRight w:val="0"/>
      <w:marTop w:val="0"/>
      <w:marBottom w:val="0"/>
      <w:divBdr>
        <w:top w:val="none" w:sz="0" w:space="0" w:color="auto"/>
        <w:left w:val="none" w:sz="0" w:space="0" w:color="auto"/>
        <w:bottom w:val="none" w:sz="0" w:space="0" w:color="auto"/>
        <w:right w:val="none" w:sz="0" w:space="0" w:color="auto"/>
      </w:divBdr>
      <w:divsChild>
        <w:div w:id="1875851320">
          <w:marLeft w:val="0"/>
          <w:marRight w:val="0"/>
          <w:marTop w:val="0"/>
          <w:marBottom w:val="0"/>
          <w:divBdr>
            <w:top w:val="none" w:sz="0" w:space="0" w:color="auto"/>
            <w:left w:val="none" w:sz="0" w:space="0" w:color="auto"/>
            <w:bottom w:val="none" w:sz="0" w:space="0" w:color="auto"/>
            <w:right w:val="none" w:sz="0" w:space="0" w:color="auto"/>
          </w:divBdr>
          <w:divsChild>
            <w:div w:id="14616940">
              <w:marLeft w:val="0"/>
              <w:marRight w:val="0"/>
              <w:marTop w:val="0"/>
              <w:marBottom w:val="0"/>
              <w:divBdr>
                <w:top w:val="none" w:sz="0" w:space="0" w:color="auto"/>
                <w:left w:val="none" w:sz="0" w:space="0" w:color="auto"/>
                <w:bottom w:val="none" w:sz="0" w:space="0" w:color="auto"/>
                <w:right w:val="none" w:sz="0" w:space="0" w:color="auto"/>
              </w:divBdr>
              <w:divsChild>
                <w:div w:id="2106001842">
                  <w:marLeft w:val="0"/>
                  <w:marRight w:val="0"/>
                  <w:marTop w:val="0"/>
                  <w:marBottom w:val="0"/>
                  <w:divBdr>
                    <w:top w:val="none" w:sz="0" w:space="0" w:color="auto"/>
                    <w:left w:val="none" w:sz="0" w:space="0" w:color="auto"/>
                    <w:bottom w:val="none" w:sz="0" w:space="0" w:color="auto"/>
                    <w:right w:val="none" w:sz="0" w:space="0" w:color="auto"/>
                  </w:divBdr>
                  <w:divsChild>
                    <w:div w:id="7767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appprod.dep.state.fl.us/air/emission/apds/default.asp"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ep.state.fl.us/air/rules/fac/62-210.pdf"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97CFAD-1008-443B-96F8-9189478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2280</Words>
  <Characters>12999</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15249</CharactersWithSpaces>
  <SharedDoc>false</SharedDoc>
  <HLinks>
    <vt:vector size="24" baseType="variant">
      <vt:variant>
        <vt:i4>262220</vt:i4>
      </vt:variant>
      <vt:variant>
        <vt:i4>9</vt:i4>
      </vt:variant>
      <vt:variant>
        <vt:i4>0</vt:i4>
      </vt:variant>
      <vt:variant>
        <vt:i4>5</vt:i4>
      </vt:variant>
      <vt:variant>
        <vt:lpwstr>http://arm-permit2k.dep.state.fl.us/psd/1050233/0000638B.pdf</vt:lpwstr>
      </vt:variant>
      <vt:variant>
        <vt:lpwstr/>
      </vt:variant>
      <vt:variant>
        <vt:i4>2424938</vt:i4>
      </vt:variant>
      <vt:variant>
        <vt:i4>6</vt:i4>
      </vt:variant>
      <vt:variant>
        <vt:i4>0</vt:i4>
      </vt:variant>
      <vt:variant>
        <vt:i4>5</vt:i4>
      </vt:variant>
      <vt:variant>
        <vt:lpwstr>http://www.rti.org/page.cfm?obj=278DDE67-5056-B100-31A62FC32B088667</vt:lpwstr>
      </vt:variant>
      <vt:variant>
        <vt:lpwstr/>
      </vt:variant>
      <vt:variant>
        <vt:i4>393246</vt:i4>
      </vt:variant>
      <vt:variant>
        <vt:i4>3</vt:i4>
      </vt:variant>
      <vt:variant>
        <vt:i4>0</vt:i4>
      </vt:variant>
      <vt:variant>
        <vt:i4>5</vt:i4>
      </vt:variant>
      <vt:variant>
        <vt:lpwstr>http://www.dep.state.fl.us/air/rules/regulatory/pm2p5_non_nsr.htm</vt:lpwstr>
      </vt:variant>
      <vt:variant>
        <vt:lpwstr/>
      </vt:variant>
      <vt:variant>
        <vt:i4>6815860</vt:i4>
      </vt:variant>
      <vt:variant>
        <vt:i4>0</vt:i4>
      </vt:variant>
      <vt:variant>
        <vt:i4>0</vt:i4>
      </vt:variant>
      <vt:variant>
        <vt:i4>5</vt:i4>
      </vt:variant>
      <vt:variant>
        <vt:lpwstr>http://www.dep.state.fl.us/air/rules/fac/62-210.pdf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lastModifiedBy>arif_s</cp:lastModifiedBy>
  <cp:revision>6</cp:revision>
  <cp:lastPrinted>2011-10-26T21:42:00Z</cp:lastPrinted>
  <dcterms:created xsi:type="dcterms:W3CDTF">2013-08-15T15:40:00Z</dcterms:created>
  <dcterms:modified xsi:type="dcterms:W3CDTF">2013-08-20T12:35:00Z</dcterms:modified>
</cp:coreProperties>
</file>